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E8" w:rsidRDefault="00425A23">
      <w:pPr>
        <w:outlineLvl w:val="1"/>
        <w:rPr>
          <w:kern w:val="36"/>
          <w:lang w:val="en-US"/>
        </w:rPr>
      </w:pPr>
      <w:r>
        <w:rPr>
          <w:noProof/>
          <w:kern w:val="36"/>
          <w:lang w:eastAsia="ru-RU"/>
        </w:rPr>
        <w:drawing>
          <wp:anchor distT="0" distB="0" distL="114300" distR="114300" simplePos="0" relativeHeight="251660288" behindDoc="0" locked="0" layoutInCell="1" allowOverlap="1">
            <wp:simplePos x="0" y="0"/>
            <wp:positionH relativeFrom="column">
              <wp:posOffset>2269490</wp:posOffset>
            </wp:positionH>
            <wp:positionV relativeFrom="paragraph">
              <wp:posOffset>-40640</wp:posOffset>
            </wp:positionV>
            <wp:extent cx="1971675" cy="1114425"/>
            <wp:effectExtent l="19050" t="0" r="9525" b="0"/>
            <wp:wrapNone/>
            <wp:docPr id="2"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5" cstate="print">
                      <a:grayscl/>
                      <a:biLevel thresh="50000"/>
                    </a:blip>
                    <a:srcRect/>
                    <a:stretch>
                      <a:fillRect/>
                    </a:stretch>
                  </pic:blipFill>
                  <pic:spPr bwMode="auto">
                    <a:xfrm>
                      <a:off x="0" y="0"/>
                      <a:ext cx="1971675" cy="1114425"/>
                    </a:xfrm>
                    <a:prstGeom prst="rect">
                      <a:avLst/>
                    </a:prstGeom>
                    <a:noFill/>
                    <a:ln w="9525">
                      <a:noFill/>
                      <a:miter lim="800000"/>
                      <a:headEnd/>
                      <a:tailEnd/>
                    </a:ln>
                  </pic:spPr>
                </pic:pic>
              </a:graphicData>
            </a:graphic>
          </wp:anchor>
        </w:drawing>
      </w:r>
    </w:p>
    <w:p w:rsidR="00036EE8" w:rsidRDefault="00036EE8">
      <w:pPr>
        <w:outlineLvl w:val="1"/>
        <w:rPr>
          <w:kern w:val="36"/>
          <w:lang w:val="en-US"/>
        </w:rPr>
      </w:pPr>
    </w:p>
    <w:p w:rsidR="00036EE8" w:rsidRDefault="00036EE8">
      <w:pPr>
        <w:outlineLvl w:val="1"/>
        <w:rPr>
          <w:kern w:val="36"/>
          <w:lang w:val="en-US"/>
        </w:rPr>
      </w:pPr>
    </w:p>
    <w:p w:rsidR="00036EE8" w:rsidRDefault="00036EE8">
      <w:pPr>
        <w:outlineLvl w:val="1"/>
        <w:rPr>
          <w:kern w:val="36"/>
          <w:lang w:val="en-US"/>
        </w:rPr>
      </w:pPr>
    </w:p>
    <w:p w:rsidR="00036EE8" w:rsidRDefault="00036EE8">
      <w:pPr>
        <w:outlineLvl w:val="1"/>
        <w:rPr>
          <w:kern w:val="36"/>
          <w:lang w:val="en-US"/>
        </w:rPr>
      </w:pPr>
    </w:p>
    <w:p w:rsidR="00036EE8" w:rsidRDefault="00036EE8">
      <w:pPr>
        <w:outlineLvl w:val="1"/>
        <w:rPr>
          <w:kern w:val="36"/>
          <w:lang w:val="en-US"/>
        </w:rPr>
      </w:pPr>
    </w:p>
    <w:p w:rsidR="00036EE8" w:rsidRDefault="00425A23">
      <w:pPr>
        <w:pStyle w:val="a3"/>
        <w:spacing w:after="0"/>
        <w:jc w:val="center"/>
        <w:rPr>
          <w:b/>
          <w:kern w:val="36"/>
          <w:sz w:val="32"/>
          <w:szCs w:val="32"/>
        </w:rPr>
      </w:pPr>
      <w:r>
        <w:rPr>
          <w:b/>
          <w:kern w:val="36"/>
          <w:sz w:val="32"/>
          <w:szCs w:val="32"/>
        </w:rPr>
        <w:t>ПАМЯТКА ДЛЯ КЛИЕНТА</w:t>
      </w:r>
    </w:p>
    <w:p w:rsidR="00036EE8" w:rsidRDefault="00425A23">
      <w:pPr>
        <w:pStyle w:val="a3"/>
        <w:spacing w:before="120" w:beforeAutospacing="0" w:after="120" w:afterAutospacing="0"/>
        <w:ind w:left="1843" w:right="1841"/>
        <w:jc w:val="center"/>
        <w:rPr>
          <w:b/>
          <w:kern w:val="36"/>
          <w:sz w:val="32"/>
          <w:szCs w:val="32"/>
        </w:rPr>
      </w:pPr>
      <w:r>
        <w:rPr>
          <w:b/>
          <w:kern w:val="36"/>
          <w:sz w:val="32"/>
          <w:szCs w:val="32"/>
        </w:rPr>
        <w:t>Налогообложение доходов физических лиц от операций с ценными бумагами</w:t>
      </w:r>
    </w:p>
    <w:p w:rsidR="00036EE8" w:rsidRDefault="00425A23">
      <w:pPr>
        <w:pStyle w:val="a3"/>
        <w:spacing w:before="240" w:beforeAutospacing="0" w:after="240" w:afterAutospacing="0"/>
        <w:jc w:val="center"/>
        <w:rPr>
          <w:rStyle w:val="a4"/>
          <w:rFonts w:eastAsiaTheme="majorEastAsia"/>
        </w:rPr>
      </w:pPr>
      <w:r>
        <w:rPr>
          <w:rStyle w:val="a4"/>
          <w:rFonts w:eastAsiaTheme="majorEastAsia"/>
        </w:rPr>
        <w:t>Уважаемый Клиент!</w:t>
      </w:r>
    </w:p>
    <w:p w:rsidR="00036EE8" w:rsidRDefault="00425A23">
      <w:pPr>
        <w:ind w:left="0" w:firstLine="709"/>
        <w:rPr>
          <w:rFonts w:ascii="Times New Roman" w:hAnsi="Times New Roman" w:cs="Times New Roman"/>
          <w:bCs/>
          <w:sz w:val="24"/>
          <w:szCs w:val="24"/>
        </w:rPr>
      </w:pPr>
      <w:r>
        <w:rPr>
          <w:rFonts w:ascii="Times New Roman" w:hAnsi="Times New Roman" w:cs="Times New Roman"/>
          <w:bCs/>
          <w:sz w:val="24"/>
          <w:szCs w:val="24"/>
        </w:rPr>
        <w:t>В соответствии с п. 2 ст. 226.1. Налогового Кодекса Российской Федерации (далее – НК РФ) КБ «Гарант-Инвест» (АО) (далее – Банк), как брокер, осуществляющий в интересах клиента операции с ценными бумагами на основании договора на брокерское обслуживание, признается налоговым агентом клиента, определяет налоговую базу клиента, производит расчет, удержание и перечисление сумм налога на доходы физических лиц (далее – НДФЛ) в налоговые органы по всем операциям, осуществленным Банком в интересах клиента в соответствии с вышеуказанным договором.</w:t>
      </w:r>
    </w:p>
    <w:p w:rsidR="00036EE8" w:rsidRDefault="00425A23">
      <w:pPr>
        <w:pStyle w:val="a3"/>
        <w:spacing w:before="120" w:beforeAutospacing="0" w:after="120" w:afterAutospacing="0"/>
        <w:ind w:right="-2"/>
        <w:jc w:val="center"/>
        <w:rPr>
          <w:rStyle w:val="a4"/>
          <w:rFonts w:eastAsiaTheme="majorEastAsia"/>
          <w:bCs w:val="0"/>
        </w:rPr>
      </w:pPr>
      <w:r>
        <w:rPr>
          <w:rStyle w:val="a4"/>
          <w:rFonts w:eastAsiaTheme="majorEastAsia"/>
          <w:bCs w:val="0"/>
        </w:rPr>
        <w:t>Порядок удержания налога на доходы физических лиц по операциям с ценными бумагами</w:t>
      </w:r>
    </w:p>
    <w:p w:rsidR="00036EE8" w:rsidRDefault="00425A23">
      <w:pPr>
        <w:ind w:left="0" w:firstLine="709"/>
        <w:rPr>
          <w:rFonts w:ascii="Times New Roman" w:hAnsi="Times New Roman" w:cs="Times New Roman"/>
          <w:bCs/>
          <w:sz w:val="24"/>
          <w:szCs w:val="24"/>
        </w:rPr>
      </w:pPr>
      <w:r>
        <w:rPr>
          <w:rFonts w:ascii="Times New Roman" w:hAnsi="Times New Roman" w:cs="Times New Roman"/>
          <w:bCs/>
          <w:sz w:val="24"/>
          <w:szCs w:val="24"/>
        </w:rPr>
        <w:t xml:space="preserve">Физические лица, заключившие договор на брокерское обслуживание, являются налогоплательщиками в соответствии с п. 1 ст. 207 НК РФ. </w:t>
      </w:r>
    </w:p>
    <w:p w:rsidR="00036EE8" w:rsidRDefault="00425A23">
      <w:pPr>
        <w:pStyle w:val="a3"/>
        <w:spacing w:before="120" w:beforeAutospacing="0" w:after="120" w:afterAutospacing="0"/>
        <w:ind w:right="-2"/>
        <w:jc w:val="center"/>
        <w:rPr>
          <w:rStyle w:val="a4"/>
          <w:rFonts w:eastAsiaTheme="majorEastAsia"/>
          <w:bCs w:val="0"/>
        </w:rPr>
      </w:pPr>
      <w:r>
        <w:rPr>
          <w:rStyle w:val="a4"/>
          <w:rFonts w:eastAsiaTheme="majorEastAsia"/>
          <w:bCs w:val="0"/>
        </w:rPr>
        <w:t>Налоговая ставка в соответствии со ст. 224 НК РФ установлена:</w:t>
      </w:r>
    </w:p>
    <w:p w:rsidR="00036EE8" w:rsidRDefault="00425A23">
      <w:pPr>
        <w:numPr>
          <w:ilvl w:val="0"/>
          <w:numId w:val="1"/>
        </w:numPr>
        <w:shd w:val="clear" w:color="auto" w:fill="FFFFFF"/>
        <w:rPr>
          <w:rFonts w:ascii="Times New Roman" w:hAnsi="Times New Roman" w:cs="Times New Roman"/>
          <w:bCs/>
          <w:sz w:val="24"/>
          <w:szCs w:val="24"/>
        </w:rPr>
      </w:pPr>
      <w:r>
        <w:rPr>
          <w:rFonts w:ascii="Times New Roman" w:hAnsi="Times New Roman" w:cs="Times New Roman"/>
          <w:bCs/>
          <w:sz w:val="24"/>
          <w:szCs w:val="24"/>
        </w:rPr>
        <w:t>13% — для налоговых резидентов Российской Федерации, если сумма налоговых баз составила менее 5 млн. рублей</w:t>
      </w:r>
      <w:r w:rsidR="00C330A7" w:rsidRPr="00C330A7">
        <w:rPr>
          <w:rFonts w:ascii="Times New Roman" w:hAnsi="Times New Roman" w:cs="Times New Roman"/>
          <w:bCs/>
          <w:sz w:val="24"/>
          <w:szCs w:val="24"/>
        </w:rPr>
        <w:t>;</w:t>
      </w:r>
    </w:p>
    <w:p w:rsidR="00036EE8" w:rsidRDefault="00425A23">
      <w:pPr>
        <w:numPr>
          <w:ilvl w:val="0"/>
          <w:numId w:val="1"/>
        </w:numPr>
        <w:shd w:val="clear" w:color="auto" w:fill="FFFFFF"/>
        <w:rPr>
          <w:rFonts w:ascii="Times New Roman" w:hAnsi="Times New Roman" w:cs="Times New Roman"/>
          <w:bCs/>
          <w:sz w:val="24"/>
          <w:szCs w:val="24"/>
        </w:rPr>
      </w:pPr>
      <w:r>
        <w:rPr>
          <w:rFonts w:ascii="Times New Roman" w:hAnsi="Times New Roman" w:cs="Times New Roman"/>
          <w:bCs/>
          <w:sz w:val="24"/>
          <w:szCs w:val="24"/>
        </w:rPr>
        <w:t>15% — для налоговых резидентов Российской Федерации, если сумма налоговых баз составила более 5 млн. рублей (повышенная ставка налога 15% применяется только к сумме дохода, превышающей 5 млн. рублей в отчетном периоде)</w:t>
      </w:r>
      <w:r w:rsidR="00C330A7" w:rsidRPr="00C330A7">
        <w:rPr>
          <w:rFonts w:ascii="Times New Roman" w:hAnsi="Times New Roman" w:cs="Times New Roman"/>
          <w:bCs/>
          <w:sz w:val="24"/>
          <w:szCs w:val="24"/>
        </w:rPr>
        <w:t>;</w:t>
      </w:r>
    </w:p>
    <w:p w:rsidR="00036EE8" w:rsidRDefault="00425A23">
      <w:pPr>
        <w:numPr>
          <w:ilvl w:val="0"/>
          <w:numId w:val="1"/>
        </w:numPr>
        <w:shd w:val="clear" w:color="auto" w:fill="FFFFFF"/>
        <w:rPr>
          <w:rFonts w:ascii="Times New Roman" w:hAnsi="Times New Roman" w:cs="Times New Roman"/>
          <w:bCs/>
          <w:sz w:val="24"/>
          <w:szCs w:val="24"/>
        </w:rPr>
      </w:pPr>
      <w:r>
        <w:rPr>
          <w:rFonts w:ascii="Times New Roman" w:hAnsi="Times New Roman" w:cs="Times New Roman"/>
          <w:bCs/>
          <w:sz w:val="24"/>
          <w:szCs w:val="24"/>
        </w:rPr>
        <w:t>30% — для налоговых нерезидентов Российской Федерации</w:t>
      </w:r>
      <w:r w:rsidR="00FF2DE2">
        <w:rPr>
          <w:rFonts w:ascii="Times New Roman" w:hAnsi="Times New Roman" w:cs="Times New Roman"/>
          <w:bCs/>
          <w:sz w:val="24"/>
          <w:szCs w:val="24"/>
        </w:rPr>
        <w:t>.</w:t>
      </w:r>
    </w:p>
    <w:p w:rsidR="00036EE8" w:rsidRDefault="00425A23">
      <w:pPr>
        <w:pStyle w:val="a3"/>
        <w:spacing w:before="120" w:beforeAutospacing="0" w:after="120" w:afterAutospacing="0"/>
        <w:ind w:right="-2"/>
        <w:jc w:val="center"/>
        <w:rPr>
          <w:rStyle w:val="a4"/>
          <w:rFonts w:eastAsiaTheme="majorEastAsia"/>
          <w:bCs w:val="0"/>
        </w:rPr>
      </w:pPr>
      <w:r>
        <w:rPr>
          <w:rStyle w:val="a4"/>
          <w:rFonts w:eastAsiaTheme="majorEastAsia"/>
          <w:bCs w:val="0"/>
        </w:rPr>
        <w:t>Сроки расчета и удержания НДФЛ установлены</w:t>
      </w:r>
      <w:r w:rsidR="00FF2DE2">
        <w:rPr>
          <w:rStyle w:val="a4"/>
          <w:rFonts w:eastAsiaTheme="majorEastAsia"/>
          <w:bCs w:val="0"/>
        </w:rPr>
        <w:t xml:space="preserve"> </w:t>
      </w:r>
      <w:r>
        <w:rPr>
          <w:rStyle w:val="a4"/>
          <w:rFonts w:eastAsiaTheme="majorEastAsia"/>
          <w:bCs w:val="0"/>
        </w:rPr>
        <w:t>п. 7 ст. 226.1 НК РФ:</w:t>
      </w:r>
    </w:p>
    <w:p w:rsidR="00036EE8" w:rsidRDefault="00425A23">
      <w:pPr>
        <w:numPr>
          <w:ilvl w:val="0"/>
          <w:numId w:val="2"/>
        </w:numPr>
        <w:jc w:val="left"/>
        <w:rPr>
          <w:rFonts w:ascii="Times New Roman" w:hAnsi="Times New Roman" w:cs="Times New Roman"/>
          <w:bCs/>
          <w:sz w:val="24"/>
          <w:szCs w:val="24"/>
        </w:rPr>
      </w:pPr>
      <w:r>
        <w:rPr>
          <w:rFonts w:ascii="Times New Roman" w:hAnsi="Times New Roman" w:cs="Times New Roman"/>
          <w:bCs/>
          <w:sz w:val="24"/>
          <w:szCs w:val="24"/>
        </w:rPr>
        <w:t>по окончании налогового периода</w:t>
      </w:r>
      <w:r w:rsidR="00FF2DE2">
        <w:rPr>
          <w:rFonts w:ascii="Times New Roman" w:hAnsi="Times New Roman" w:cs="Times New Roman"/>
          <w:bCs/>
          <w:sz w:val="24"/>
          <w:szCs w:val="24"/>
          <w:lang w:val="en-US"/>
        </w:rPr>
        <w:t>;</w:t>
      </w:r>
      <w:r>
        <w:rPr>
          <w:rFonts w:ascii="Times New Roman" w:hAnsi="Times New Roman" w:cs="Times New Roman"/>
          <w:bCs/>
          <w:sz w:val="24"/>
          <w:szCs w:val="24"/>
        </w:rPr>
        <w:t xml:space="preserve"> </w:t>
      </w:r>
    </w:p>
    <w:p w:rsidR="00036EE8" w:rsidRDefault="00425A23">
      <w:pPr>
        <w:numPr>
          <w:ilvl w:val="0"/>
          <w:numId w:val="2"/>
        </w:numPr>
        <w:jc w:val="left"/>
        <w:rPr>
          <w:rFonts w:ascii="Times New Roman" w:hAnsi="Times New Roman" w:cs="Times New Roman"/>
          <w:bCs/>
          <w:sz w:val="24"/>
          <w:szCs w:val="24"/>
        </w:rPr>
      </w:pPr>
      <w:r>
        <w:rPr>
          <w:rFonts w:ascii="Times New Roman" w:hAnsi="Times New Roman" w:cs="Times New Roman"/>
          <w:bCs/>
          <w:sz w:val="24"/>
          <w:szCs w:val="24"/>
        </w:rPr>
        <w:t>при выплате (выводе) денежных средств с брокерского счета до окончания налогового периода</w:t>
      </w:r>
      <w:r w:rsidR="00C330A7" w:rsidRPr="00C330A7">
        <w:rPr>
          <w:rFonts w:ascii="Times New Roman" w:hAnsi="Times New Roman" w:cs="Times New Roman"/>
          <w:bCs/>
          <w:sz w:val="24"/>
          <w:szCs w:val="24"/>
        </w:rPr>
        <w:t>;</w:t>
      </w:r>
    </w:p>
    <w:p w:rsidR="00036EE8" w:rsidRDefault="00425A23">
      <w:pPr>
        <w:numPr>
          <w:ilvl w:val="0"/>
          <w:numId w:val="2"/>
        </w:numPr>
        <w:jc w:val="left"/>
        <w:rPr>
          <w:rFonts w:ascii="Times New Roman" w:hAnsi="Times New Roman" w:cs="Times New Roman"/>
          <w:bCs/>
          <w:sz w:val="24"/>
          <w:szCs w:val="24"/>
        </w:rPr>
      </w:pPr>
      <w:r>
        <w:rPr>
          <w:rFonts w:ascii="Times New Roman" w:hAnsi="Times New Roman" w:cs="Times New Roman"/>
          <w:bCs/>
          <w:sz w:val="24"/>
          <w:szCs w:val="24"/>
        </w:rPr>
        <w:t>при расторжении договора</w:t>
      </w:r>
      <w:r w:rsidR="00FF2DE2">
        <w:rPr>
          <w:rFonts w:ascii="Times New Roman" w:hAnsi="Times New Roman" w:cs="Times New Roman"/>
          <w:bCs/>
          <w:sz w:val="24"/>
          <w:szCs w:val="24"/>
          <w:lang w:val="en-US"/>
        </w:rPr>
        <w:t>.</w:t>
      </w:r>
    </w:p>
    <w:p w:rsidR="00036EE8" w:rsidRDefault="00425A23">
      <w:pPr>
        <w:spacing w:before="120" w:after="120"/>
        <w:jc w:val="left"/>
        <w:rPr>
          <w:rFonts w:ascii="Times New Roman" w:hAnsi="Times New Roman" w:cs="Times New Roman"/>
          <w:bCs/>
          <w:sz w:val="24"/>
          <w:szCs w:val="24"/>
        </w:rPr>
      </w:pPr>
      <w:r>
        <w:rPr>
          <w:rFonts w:ascii="Times New Roman" w:hAnsi="Times New Roman" w:cs="Times New Roman"/>
          <w:bCs/>
          <w:sz w:val="24"/>
          <w:szCs w:val="24"/>
        </w:rPr>
        <w:t>Налоговый период -</w:t>
      </w:r>
      <w:r w:rsidR="00C330A7" w:rsidRPr="00C330A7">
        <w:rPr>
          <w:rFonts w:ascii="Times New Roman" w:hAnsi="Times New Roman" w:cs="Times New Roman"/>
          <w:bCs/>
          <w:sz w:val="24"/>
          <w:szCs w:val="24"/>
        </w:rPr>
        <w:t xml:space="preserve"> </w:t>
      </w:r>
      <w:r>
        <w:rPr>
          <w:rFonts w:ascii="Times New Roman" w:hAnsi="Times New Roman" w:cs="Times New Roman"/>
          <w:bCs/>
          <w:sz w:val="24"/>
          <w:szCs w:val="24"/>
        </w:rPr>
        <w:t>1 год (с 01 января по 31 декабря)</w:t>
      </w:r>
    </w:p>
    <w:p w:rsidR="00036EE8" w:rsidRDefault="00425A23">
      <w:pPr>
        <w:pStyle w:val="a3"/>
        <w:spacing w:before="120" w:beforeAutospacing="0" w:after="120" w:afterAutospacing="0"/>
        <w:ind w:left="1276" w:right="1273"/>
        <w:jc w:val="center"/>
        <w:rPr>
          <w:rStyle w:val="a4"/>
          <w:rFonts w:eastAsiaTheme="majorEastAsia"/>
          <w:bCs w:val="0"/>
        </w:rPr>
      </w:pPr>
      <w:r>
        <w:rPr>
          <w:rStyle w:val="a4"/>
          <w:rFonts w:eastAsiaTheme="majorEastAsia"/>
          <w:bCs w:val="0"/>
        </w:rPr>
        <w:t>Определение налоговой базы (дохода, с которого удерживается налог) в рамках брокерского договора</w:t>
      </w:r>
    </w:p>
    <w:p w:rsidR="00036EE8" w:rsidRDefault="00425A23">
      <w:pPr>
        <w:ind w:left="0" w:firstLine="0"/>
        <w:jc w:val="left"/>
        <w:rPr>
          <w:rFonts w:ascii="Times New Roman" w:hAnsi="Times New Roman" w:cs="Times New Roman"/>
          <w:b/>
          <w:bCs/>
          <w:i/>
          <w:sz w:val="24"/>
          <w:szCs w:val="24"/>
        </w:rPr>
      </w:pPr>
      <w:r>
        <w:rPr>
          <w:rFonts w:ascii="Times New Roman" w:hAnsi="Times New Roman" w:cs="Times New Roman"/>
          <w:b/>
          <w:bCs/>
          <w:i/>
          <w:sz w:val="24"/>
          <w:szCs w:val="24"/>
        </w:rPr>
        <w:t>К доходам, полученным клиентом от операций с ценными бумагами, относятся:</w:t>
      </w:r>
    </w:p>
    <w:p w:rsidR="00036EE8" w:rsidRDefault="00425A23">
      <w:pPr>
        <w:numPr>
          <w:ilvl w:val="0"/>
          <w:numId w:val="3"/>
        </w:numPr>
        <w:jc w:val="left"/>
        <w:rPr>
          <w:rFonts w:ascii="Times New Roman" w:hAnsi="Times New Roman" w:cs="Times New Roman"/>
          <w:bCs/>
          <w:sz w:val="24"/>
          <w:szCs w:val="24"/>
        </w:rPr>
      </w:pPr>
      <w:r>
        <w:rPr>
          <w:rFonts w:ascii="Times New Roman" w:hAnsi="Times New Roman" w:cs="Times New Roman"/>
          <w:bCs/>
          <w:sz w:val="24"/>
          <w:szCs w:val="24"/>
        </w:rPr>
        <w:t>доходы от купли-продажи (погашения) ценных бумаг, полученные в налоговом периоде</w:t>
      </w:r>
      <w:r w:rsidR="00C330A7" w:rsidRPr="00C330A7">
        <w:rPr>
          <w:rFonts w:ascii="Times New Roman" w:hAnsi="Times New Roman" w:cs="Times New Roman"/>
          <w:bCs/>
          <w:sz w:val="24"/>
          <w:szCs w:val="24"/>
        </w:rPr>
        <w:t>;</w:t>
      </w:r>
    </w:p>
    <w:p w:rsidR="00036EE8" w:rsidRDefault="00425A23">
      <w:pPr>
        <w:numPr>
          <w:ilvl w:val="0"/>
          <w:numId w:val="3"/>
        </w:numPr>
        <w:jc w:val="left"/>
        <w:rPr>
          <w:rFonts w:ascii="Times New Roman" w:hAnsi="Times New Roman" w:cs="Times New Roman"/>
          <w:bCs/>
          <w:sz w:val="24"/>
          <w:szCs w:val="24"/>
        </w:rPr>
      </w:pPr>
      <w:r>
        <w:rPr>
          <w:rFonts w:ascii="Times New Roman" w:hAnsi="Times New Roman" w:cs="Times New Roman"/>
          <w:bCs/>
          <w:sz w:val="24"/>
          <w:szCs w:val="24"/>
        </w:rPr>
        <w:t>доходы по ценным бумагам, полученные в налоговом периоде в виде процента (купона, дисконта)</w:t>
      </w:r>
      <w:r w:rsidR="00C330A7" w:rsidRPr="00C330A7">
        <w:rPr>
          <w:rFonts w:ascii="Times New Roman" w:hAnsi="Times New Roman" w:cs="Times New Roman"/>
          <w:bCs/>
          <w:sz w:val="24"/>
          <w:szCs w:val="24"/>
        </w:rPr>
        <w:t>;</w:t>
      </w:r>
    </w:p>
    <w:p w:rsidR="00036EE8" w:rsidRDefault="00425A23">
      <w:pPr>
        <w:numPr>
          <w:ilvl w:val="0"/>
          <w:numId w:val="3"/>
        </w:numPr>
        <w:jc w:val="left"/>
        <w:rPr>
          <w:rFonts w:ascii="Times New Roman" w:hAnsi="Times New Roman" w:cs="Times New Roman"/>
          <w:bCs/>
          <w:sz w:val="24"/>
          <w:szCs w:val="24"/>
        </w:rPr>
      </w:pPr>
      <w:r>
        <w:rPr>
          <w:rFonts w:ascii="Times New Roman" w:hAnsi="Times New Roman" w:cs="Times New Roman"/>
          <w:bCs/>
          <w:sz w:val="24"/>
          <w:szCs w:val="24"/>
        </w:rPr>
        <w:t>доходы в виде дивидендов</w:t>
      </w:r>
      <w:r w:rsidR="00FF2DE2">
        <w:rPr>
          <w:rFonts w:ascii="Times New Roman" w:hAnsi="Times New Roman" w:cs="Times New Roman"/>
          <w:bCs/>
          <w:sz w:val="24"/>
          <w:szCs w:val="24"/>
          <w:lang w:val="en-US"/>
        </w:rPr>
        <w:t>.</w:t>
      </w:r>
    </w:p>
    <w:p w:rsidR="00036EE8" w:rsidRDefault="00425A23">
      <w:pPr>
        <w:ind w:left="0" w:firstLine="0"/>
        <w:rPr>
          <w:rFonts w:ascii="Times New Roman" w:hAnsi="Times New Roman" w:cs="Times New Roman"/>
          <w:b/>
          <w:bCs/>
          <w:i/>
          <w:sz w:val="24"/>
          <w:szCs w:val="24"/>
        </w:rPr>
      </w:pPr>
      <w:r>
        <w:rPr>
          <w:rFonts w:ascii="Times New Roman" w:hAnsi="Times New Roman" w:cs="Times New Roman"/>
          <w:b/>
          <w:bCs/>
          <w:i/>
          <w:sz w:val="24"/>
          <w:szCs w:val="24"/>
        </w:rPr>
        <w:t>К расходам клиента, связанным с операциями с ценными бумагами и фактически осуществленным в рамках брокерского договора</w:t>
      </w:r>
    </w:p>
    <w:p w:rsidR="00036EE8" w:rsidRDefault="00425A23">
      <w:pPr>
        <w:numPr>
          <w:ilvl w:val="0"/>
          <w:numId w:val="4"/>
        </w:numPr>
        <w:rPr>
          <w:rFonts w:ascii="Times New Roman" w:hAnsi="Times New Roman" w:cs="Times New Roman"/>
          <w:bCs/>
          <w:sz w:val="24"/>
          <w:szCs w:val="24"/>
        </w:rPr>
      </w:pPr>
      <w:r>
        <w:rPr>
          <w:rFonts w:ascii="Times New Roman" w:hAnsi="Times New Roman" w:cs="Times New Roman"/>
          <w:bCs/>
          <w:sz w:val="24"/>
          <w:szCs w:val="24"/>
        </w:rPr>
        <w:t>суммы, уплачиваемые эмитенту ценных бумаг в оплату размещаемых ценных бумаг, а также суммы, уплачиваемые в соответствии с договором купли-продажи ценных бумаг, в том числе суммы уплаченного купонного дохода</w:t>
      </w:r>
      <w:r w:rsidR="00C330A7" w:rsidRPr="00C330A7">
        <w:rPr>
          <w:rFonts w:ascii="Times New Roman" w:hAnsi="Times New Roman" w:cs="Times New Roman"/>
          <w:bCs/>
          <w:sz w:val="24"/>
          <w:szCs w:val="24"/>
        </w:rPr>
        <w:t>;</w:t>
      </w:r>
    </w:p>
    <w:p w:rsidR="00036EE8" w:rsidRDefault="00425A23">
      <w:pPr>
        <w:numPr>
          <w:ilvl w:val="0"/>
          <w:numId w:val="4"/>
        </w:numPr>
        <w:rPr>
          <w:rFonts w:ascii="Times New Roman" w:hAnsi="Times New Roman" w:cs="Times New Roman"/>
          <w:bCs/>
          <w:sz w:val="24"/>
          <w:szCs w:val="24"/>
        </w:rPr>
      </w:pPr>
      <w:r>
        <w:rPr>
          <w:rFonts w:ascii="Times New Roman" w:hAnsi="Times New Roman" w:cs="Times New Roman"/>
          <w:bCs/>
          <w:sz w:val="24"/>
          <w:szCs w:val="24"/>
        </w:rPr>
        <w:t>оплата биржевых сборов (комиссии)</w:t>
      </w:r>
      <w:r w:rsidR="00FF2DE2">
        <w:rPr>
          <w:rFonts w:ascii="Times New Roman" w:hAnsi="Times New Roman" w:cs="Times New Roman"/>
          <w:bCs/>
          <w:sz w:val="24"/>
          <w:szCs w:val="24"/>
          <w:lang w:val="en-US"/>
        </w:rPr>
        <w:t>;</w:t>
      </w:r>
    </w:p>
    <w:p w:rsidR="00036EE8" w:rsidRDefault="00425A23">
      <w:pPr>
        <w:numPr>
          <w:ilvl w:val="0"/>
          <w:numId w:val="4"/>
        </w:numPr>
        <w:rPr>
          <w:rFonts w:ascii="Times New Roman" w:hAnsi="Times New Roman" w:cs="Times New Roman"/>
          <w:bCs/>
          <w:sz w:val="24"/>
          <w:szCs w:val="24"/>
        </w:rPr>
      </w:pPr>
      <w:r>
        <w:rPr>
          <w:rFonts w:ascii="Times New Roman" w:hAnsi="Times New Roman" w:cs="Times New Roman"/>
          <w:bCs/>
          <w:sz w:val="24"/>
          <w:szCs w:val="24"/>
        </w:rPr>
        <w:t>оплата услуг, оказываемых профессиональными участниками рынка ценных бумаг, а также биржевыми посредниками и клиринговыми центрами</w:t>
      </w:r>
      <w:r w:rsidR="00C330A7" w:rsidRPr="00C330A7">
        <w:rPr>
          <w:rFonts w:ascii="Times New Roman" w:hAnsi="Times New Roman" w:cs="Times New Roman"/>
          <w:bCs/>
          <w:sz w:val="24"/>
          <w:szCs w:val="24"/>
        </w:rPr>
        <w:t>;</w:t>
      </w:r>
    </w:p>
    <w:p w:rsidR="00036EE8" w:rsidRDefault="00425A23">
      <w:pPr>
        <w:numPr>
          <w:ilvl w:val="0"/>
          <w:numId w:val="4"/>
        </w:numPr>
        <w:rPr>
          <w:rFonts w:ascii="Times New Roman" w:hAnsi="Times New Roman" w:cs="Times New Roman"/>
          <w:bCs/>
          <w:sz w:val="24"/>
          <w:szCs w:val="24"/>
        </w:rPr>
      </w:pPr>
      <w:r>
        <w:rPr>
          <w:rFonts w:ascii="Times New Roman" w:hAnsi="Times New Roman" w:cs="Times New Roman"/>
          <w:bCs/>
          <w:sz w:val="24"/>
          <w:szCs w:val="24"/>
        </w:rPr>
        <w:lastRenderedPageBreak/>
        <w:t>оплата услуг (комиссии) Банка</w:t>
      </w:r>
      <w:r w:rsidR="00FF2DE2">
        <w:rPr>
          <w:rFonts w:ascii="Times New Roman" w:hAnsi="Times New Roman" w:cs="Times New Roman"/>
          <w:bCs/>
          <w:sz w:val="24"/>
          <w:szCs w:val="24"/>
          <w:lang w:val="en-US"/>
        </w:rPr>
        <w:t>;</w:t>
      </w:r>
    </w:p>
    <w:p w:rsidR="00036EE8" w:rsidRDefault="00425A23">
      <w:pPr>
        <w:numPr>
          <w:ilvl w:val="0"/>
          <w:numId w:val="4"/>
        </w:numPr>
        <w:rPr>
          <w:rFonts w:ascii="Times New Roman" w:hAnsi="Times New Roman" w:cs="Times New Roman"/>
          <w:bCs/>
          <w:sz w:val="24"/>
          <w:szCs w:val="24"/>
        </w:rPr>
      </w:pPr>
      <w:r>
        <w:rPr>
          <w:rFonts w:ascii="Times New Roman" w:hAnsi="Times New Roman" w:cs="Times New Roman"/>
          <w:bCs/>
          <w:sz w:val="24"/>
          <w:szCs w:val="24"/>
        </w:rPr>
        <w:t>суммы документально подтвержденных расходов на приобретение (получение) ценных бумаг в собственность</w:t>
      </w:r>
      <w:r w:rsidR="00C330A7" w:rsidRPr="00C330A7">
        <w:rPr>
          <w:rFonts w:ascii="Times New Roman" w:hAnsi="Times New Roman" w:cs="Times New Roman"/>
          <w:bCs/>
          <w:sz w:val="24"/>
          <w:szCs w:val="24"/>
        </w:rPr>
        <w:t>;</w:t>
      </w:r>
    </w:p>
    <w:p w:rsidR="00036EE8" w:rsidRDefault="00425A23">
      <w:pPr>
        <w:numPr>
          <w:ilvl w:val="0"/>
          <w:numId w:val="4"/>
        </w:numPr>
        <w:rPr>
          <w:rFonts w:ascii="Times New Roman" w:hAnsi="Times New Roman" w:cs="Times New Roman"/>
          <w:bCs/>
          <w:sz w:val="24"/>
          <w:szCs w:val="24"/>
        </w:rPr>
      </w:pPr>
      <w:r>
        <w:rPr>
          <w:rFonts w:ascii="Times New Roman" w:hAnsi="Times New Roman" w:cs="Times New Roman"/>
          <w:bCs/>
          <w:sz w:val="24"/>
          <w:szCs w:val="24"/>
        </w:rPr>
        <w:t>другие расходы, непосредственно связанные с операциями с ценными бумагами</w:t>
      </w:r>
      <w:r w:rsidR="00C330A7" w:rsidRPr="00C330A7">
        <w:rPr>
          <w:rFonts w:ascii="Times New Roman" w:hAnsi="Times New Roman" w:cs="Times New Roman"/>
          <w:bCs/>
          <w:sz w:val="24"/>
          <w:szCs w:val="24"/>
        </w:rPr>
        <w:t>.</w:t>
      </w:r>
    </w:p>
    <w:p w:rsidR="00036EE8" w:rsidRDefault="00425A23">
      <w:pPr>
        <w:pStyle w:val="a3"/>
        <w:spacing w:before="120" w:beforeAutospacing="0" w:after="120" w:afterAutospacing="0"/>
        <w:ind w:right="-2"/>
        <w:jc w:val="center"/>
        <w:rPr>
          <w:rStyle w:val="a4"/>
          <w:rFonts w:eastAsiaTheme="majorEastAsia"/>
          <w:bCs w:val="0"/>
        </w:rPr>
      </w:pPr>
      <w:r>
        <w:rPr>
          <w:rStyle w:val="a4"/>
          <w:rFonts w:eastAsiaTheme="majorEastAsia"/>
          <w:bCs w:val="0"/>
        </w:rPr>
        <w:t>Порядок расчета налоговой базы (суммы, с которой удерживается налог)</w:t>
      </w:r>
    </w:p>
    <w:p w:rsidR="00126362" w:rsidRDefault="00425A23">
      <w:pPr>
        <w:pStyle w:val="a3"/>
        <w:spacing w:before="0" w:beforeAutospacing="0" w:after="0" w:afterAutospacing="0"/>
        <w:ind w:firstLine="709"/>
        <w:jc w:val="both"/>
        <w:rPr>
          <w:rFonts w:eastAsiaTheme="minorHAnsi"/>
          <w:bCs/>
          <w:lang w:eastAsia="en-US"/>
        </w:rPr>
      </w:pPr>
      <w:r>
        <w:rPr>
          <w:rFonts w:eastAsiaTheme="minorHAnsi"/>
          <w:bCs/>
          <w:lang w:eastAsia="en-US"/>
        </w:rPr>
        <w:t>Финансовый результат по операциям с ценными бумагами определяется как доходы от операций за вычетом соответствующих расходов.</w:t>
      </w:r>
    </w:p>
    <w:p w:rsidR="00036EE8" w:rsidRDefault="00425A23">
      <w:pPr>
        <w:pStyle w:val="a3"/>
        <w:spacing w:before="120" w:beforeAutospacing="0" w:after="120" w:afterAutospacing="0"/>
        <w:ind w:right="-2"/>
        <w:jc w:val="center"/>
        <w:rPr>
          <w:rStyle w:val="a4"/>
          <w:rFonts w:eastAsiaTheme="majorEastAsia"/>
          <w:bCs w:val="0"/>
        </w:rPr>
      </w:pPr>
      <w:r>
        <w:rPr>
          <w:rStyle w:val="a4"/>
          <w:rFonts w:eastAsiaTheme="majorEastAsia"/>
          <w:bCs w:val="0"/>
        </w:rPr>
        <w:t>Порядок расчета налоговой базы при выводе денежных средств с брокерского счета до истечения налогового периода или до истечения срока действия договора</w:t>
      </w:r>
    </w:p>
    <w:p w:rsidR="00126362" w:rsidRDefault="00425A23">
      <w:pPr>
        <w:pStyle w:val="a3"/>
        <w:spacing w:before="0" w:beforeAutospacing="0" w:after="0" w:afterAutospacing="0"/>
        <w:ind w:firstLine="709"/>
        <w:jc w:val="both"/>
        <w:rPr>
          <w:rFonts w:eastAsiaTheme="minorHAnsi"/>
          <w:bCs/>
          <w:lang w:eastAsia="en-US"/>
        </w:rPr>
      </w:pPr>
      <w:r>
        <w:rPr>
          <w:rFonts w:eastAsiaTheme="minorHAnsi"/>
          <w:bCs/>
          <w:lang w:eastAsia="en-US"/>
        </w:rPr>
        <w:t>В случае промежуточных выводов денежных средств клиентом с его брокерского счета на банковский счет до истечения налогового периода или до истечения срока действия договора налоговая база определяется с учетом следующих особенностей:</w:t>
      </w:r>
    </w:p>
    <w:p w:rsidR="00036EE8" w:rsidRDefault="00425A23">
      <w:pPr>
        <w:pStyle w:val="a3"/>
        <w:numPr>
          <w:ilvl w:val="0"/>
          <w:numId w:val="5"/>
        </w:numPr>
        <w:spacing w:before="0" w:beforeAutospacing="0" w:after="0" w:afterAutospacing="0"/>
        <w:jc w:val="both"/>
        <w:rPr>
          <w:rFonts w:eastAsiaTheme="minorHAnsi"/>
          <w:bCs/>
          <w:lang w:eastAsia="en-US"/>
        </w:rPr>
      </w:pPr>
      <w:r>
        <w:rPr>
          <w:rFonts w:eastAsiaTheme="minorHAnsi"/>
          <w:bCs/>
          <w:lang w:eastAsia="en-US"/>
        </w:rPr>
        <w:t>определяется финансовый результат по каждой операции и по каждой совокупности операций на дату вывода денежных средств</w:t>
      </w:r>
      <w:r w:rsidR="00C330A7" w:rsidRPr="00C330A7">
        <w:rPr>
          <w:rFonts w:eastAsiaTheme="minorHAnsi"/>
          <w:bCs/>
          <w:lang w:eastAsia="en-US"/>
        </w:rPr>
        <w:t>;</w:t>
      </w:r>
    </w:p>
    <w:p w:rsidR="00036EE8" w:rsidRDefault="00425A23">
      <w:pPr>
        <w:pStyle w:val="a3"/>
        <w:numPr>
          <w:ilvl w:val="0"/>
          <w:numId w:val="5"/>
        </w:numPr>
        <w:spacing w:before="0" w:beforeAutospacing="0" w:after="0" w:afterAutospacing="0"/>
        <w:jc w:val="both"/>
        <w:rPr>
          <w:rFonts w:eastAsiaTheme="minorHAnsi"/>
          <w:bCs/>
          <w:lang w:eastAsia="en-US"/>
        </w:rPr>
      </w:pPr>
      <w:r>
        <w:rPr>
          <w:rFonts w:eastAsiaTheme="minorHAnsi"/>
          <w:bCs/>
          <w:lang w:eastAsia="en-US"/>
        </w:rPr>
        <w:t>отрицательный финансовый результат уменьшает финансовый результат по совокупности соответствующих операций</w:t>
      </w:r>
      <w:r w:rsidR="00C330A7" w:rsidRPr="00C330A7">
        <w:rPr>
          <w:rFonts w:eastAsiaTheme="minorHAnsi"/>
          <w:bCs/>
          <w:lang w:eastAsia="en-US"/>
        </w:rPr>
        <w:t>.</w:t>
      </w:r>
    </w:p>
    <w:p w:rsidR="00126362" w:rsidRDefault="00425A23">
      <w:pPr>
        <w:pStyle w:val="a3"/>
        <w:spacing w:before="0" w:beforeAutospacing="0" w:after="0" w:afterAutospacing="0"/>
        <w:ind w:firstLine="709"/>
        <w:jc w:val="both"/>
        <w:rPr>
          <w:rFonts w:eastAsiaTheme="minorHAnsi"/>
          <w:bCs/>
          <w:lang w:eastAsia="en-US"/>
        </w:rPr>
      </w:pPr>
      <w:r>
        <w:rPr>
          <w:rFonts w:eastAsiaTheme="minorHAnsi"/>
          <w:bCs/>
          <w:lang w:eastAsia="en-US"/>
        </w:rPr>
        <w:t>При выводе денежных сре</w:t>
      </w:r>
      <w:proofErr w:type="gramStart"/>
      <w:r>
        <w:rPr>
          <w:rFonts w:eastAsiaTheme="minorHAnsi"/>
          <w:bCs/>
          <w:lang w:eastAsia="en-US"/>
        </w:rPr>
        <w:t>дств кл</w:t>
      </w:r>
      <w:proofErr w:type="gramEnd"/>
      <w:r>
        <w:rPr>
          <w:rFonts w:eastAsiaTheme="minorHAnsi"/>
          <w:bCs/>
          <w:lang w:eastAsia="en-US"/>
        </w:rPr>
        <w:t>иентом с его брокерского счета на банковский счет до истечения налогового периода или до истечения срока действия договора налог удерживается из денежных средств клиента в порядке, предусмотренном п. 11 ст. 226.1. НК РФ.</w:t>
      </w:r>
    </w:p>
    <w:p w:rsidR="00036EE8" w:rsidRDefault="00425A23">
      <w:pPr>
        <w:pStyle w:val="a3"/>
        <w:spacing w:before="0" w:beforeAutospacing="0" w:after="0" w:afterAutospacing="0"/>
        <w:jc w:val="both"/>
        <w:rPr>
          <w:rFonts w:eastAsiaTheme="minorHAnsi"/>
          <w:bCs/>
          <w:lang w:eastAsia="en-US"/>
        </w:rPr>
      </w:pPr>
      <w:r>
        <w:rPr>
          <w:rFonts w:eastAsiaTheme="minorHAnsi"/>
          <w:bCs/>
          <w:lang w:eastAsia="en-US"/>
        </w:rPr>
        <w:t>При выводе денежных средств более одного раза в течение налогового периода исчисление суммы налога производится нарастающим итогом с зачетом ранее уплаченных сумм налога (п. 12 ст. 226.1. НК РФ).</w:t>
      </w:r>
    </w:p>
    <w:p w:rsidR="00126362" w:rsidRDefault="00425A23">
      <w:pPr>
        <w:pStyle w:val="a3"/>
        <w:spacing w:before="0" w:beforeAutospacing="0" w:after="0" w:afterAutospacing="0"/>
        <w:ind w:firstLine="709"/>
        <w:jc w:val="both"/>
        <w:rPr>
          <w:rFonts w:eastAsiaTheme="minorHAnsi"/>
          <w:bCs/>
          <w:lang w:eastAsia="en-US"/>
        </w:rPr>
      </w:pPr>
      <w:r>
        <w:rPr>
          <w:rFonts w:eastAsiaTheme="minorHAnsi"/>
          <w:bCs/>
          <w:lang w:eastAsia="en-US"/>
        </w:rPr>
        <w:t>Сумма налога удерживается из выводимых денежных средств, если суммы остатка денежных средств на брокерском счете клиента после вывода не хватает для удержания рассчитанного налога. Если суммы остатка денежных средств на брокерском счете клиента достаточно для удержания налога, сумма налога удерживается из денежных средств на брокерском счете клиента.</w:t>
      </w:r>
    </w:p>
    <w:p w:rsidR="00036EE8" w:rsidRDefault="00425A23">
      <w:pPr>
        <w:pStyle w:val="a3"/>
        <w:spacing w:before="120" w:beforeAutospacing="0" w:after="120" w:afterAutospacing="0"/>
        <w:ind w:right="-2"/>
        <w:jc w:val="center"/>
        <w:rPr>
          <w:rStyle w:val="a4"/>
          <w:rFonts w:eastAsiaTheme="majorEastAsia"/>
          <w:bCs w:val="0"/>
        </w:rPr>
      </w:pPr>
      <w:r>
        <w:rPr>
          <w:rStyle w:val="a4"/>
          <w:rFonts w:eastAsiaTheme="majorEastAsia"/>
          <w:bCs w:val="0"/>
        </w:rPr>
        <w:t>Порядок расчета налоговой базы по итогам налогового периода</w:t>
      </w:r>
    </w:p>
    <w:p w:rsidR="00126362" w:rsidRDefault="00425A23">
      <w:pPr>
        <w:pStyle w:val="a3"/>
        <w:spacing w:before="0" w:beforeAutospacing="0" w:after="0" w:afterAutospacing="0"/>
        <w:ind w:firstLine="709"/>
        <w:jc w:val="both"/>
        <w:rPr>
          <w:rFonts w:eastAsiaTheme="minorHAnsi"/>
          <w:bCs/>
          <w:strike/>
          <w:lang w:eastAsia="en-US"/>
        </w:rPr>
      </w:pPr>
      <w:r>
        <w:rPr>
          <w:rFonts w:eastAsiaTheme="minorHAnsi"/>
          <w:bCs/>
          <w:lang w:eastAsia="en-US"/>
        </w:rPr>
        <w:t xml:space="preserve">По окончании налогового периода </w:t>
      </w:r>
      <w:r w:rsidR="00CE2FE9">
        <w:rPr>
          <w:rFonts w:eastAsiaTheme="minorHAnsi"/>
          <w:bCs/>
          <w:lang w:eastAsia="en-US"/>
        </w:rPr>
        <w:t xml:space="preserve">Банк, действующий в качестве </w:t>
      </w:r>
      <w:r>
        <w:rPr>
          <w:rFonts w:eastAsiaTheme="minorHAnsi"/>
          <w:bCs/>
          <w:lang w:eastAsia="en-US"/>
        </w:rPr>
        <w:t>налогов</w:t>
      </w:r>
      <w:r w:rsidR="00CE2FE9">
        <w:rPr>
          <w:rFonts w:eastAsiaTheme="minorHAnsi"/>
          <w:bCs/>
          <w:lang w:eastAsia="en-US"/>
        </w:rPr>
        <w:t>ого</w:t>
      </w:r>
      <w:r>
        <w:rPr>
          <w:rFonts w:eastAsiaTheme="minorHAnsi"/>
          <w:bCs/>
          <w:lang w:eastAsia="en-US"/>
        </w:rPr>
        <w:t xml:space="preserve"> агент</w:t>
      </w:r>
      <w:r w:rsidR="00CE2FE9">
        <w:rPr>
          <w:rFonts w:eastAsiaTheme="minorHAnsi"/>
          <w:bCs/>
          <w:lang w:eastAsia="en-US"/>
        </w:rPr>
        <w:t>а,</w:t>
      </w:r>
      <w:r>
        <w:rPr>
          <w:rFonts w:eastAsiaTheme="minorHAnsi"/>
          <w:bCs/>
          <w:lang w:eastAsia="en-US"/>
        </w:rPr>
        <w:t xml:space="preserve"> производит расчет, удержание налога и перечисляет удержанный налог в бюджет в срок не позднее одного месяца с даты окончания налогового периода (не позднее 30 января года, следующего за </w:t>
      </w:r>
      <w:proofErr w:type="gramStart"/>
      <w:r>
        <w:rPr>
          <w:rFonts w:eastAsiaTheme="minorHAnsi"/>
          <w:bCs/>
          <w:lang w:eastAsia="en-US"/>
        </w:rPr>
        <w:t>отчетным</w:t>
      </w:r>
      <w:proofErr w:type="gramEnd"/>
      <w:r>
        <w:rPr>
          <w:rFonts w:eastAsiaTheme="minorHAnsi"/>
          <w:bCs/>
          <w:lang w:eastAsia="en-US"/>
        </w:rPr>
        <w:t>).</w:t>
      </w:r>
    </w:p>
    <w:p w:rsidR="00CA6D71" w:rsidRDefault="00425A23">
      <w:pPr>
        <w:pStyle w:val="a3"/>
        <w:spacing w:before="0" w:beforeAutospacing="0" w:after="0" w:afterAutospacing="0"/>
        <w:ind w:firstLine="709"/>
        <w:jc w:val="both"/>
        <w:rPr>
          <w:bCs/>
        </w:rPr>
      </w:pPr>
      <w:r>
        <w:rPr>
          <w:rFonts w:eastAsiaTheme="minorHAnsi"/>
          <w:bCs/>
          <w:lang w:eastAsia="en-US"/>
        </w:rPr>
        <w:t xml:space="preserve">В случае отсутствия на брокерском счете клиента денежных средств, необходимых для </w:t>
      </w:r>
      <w:r w:rsidR="00FF2DE2">
        <w:rPr>
          <w:rFonts w:eastAsiaTheme="minorHAnsi"/>
          <w:bCs/>
          <w:lang w:eastAsia="en-US"/>
        </w:rPr>
        <w:t>удержания</w:t>
      </w:r>
      <w:r>
        <w:rPr>
          <w:rFonts w:eastAsiaTheme="minorHAnsi"/>
          <w:bCs/>
          <w:lang w:eastAsia="en-US"/>
        </w:rPr>
        <w:t xml:space="preserve"> НДФЛ, Банк направляет информацию о сумме исчисленного, но не удержанного налога в налоговые органы. Клиент обязан самостоятельно перечислить в бюджет исчисленную сумму налога. В случае если задолженность клиента по уплате налогов возникнет в течение налогового периода, налог</w:t>
      </w:r>
      <w:bookmarkStart w:id="0" w:name="_GoBack"/>
      <w:bookmarkEnd w:id="0"/>
      <w:r>
        <w:rPr>
          <w:rFonts w:eastAsiaTheme="minorHAnsi"/>
          <w:bCs/>
          <w:lang w:eastAsia="en-US"/>
        </w:rPr>
        <w:t xml:space="preserve"> будет удержан при появлении необходимой суммы рублевых денежных средств на брокерском счете.</w:t>
      </w:r>
    </w:p>
    <w:sectPr w:rsidR="00CA6D71" w:rsidSect="001F0000">
      <w:pgSz w:w="11906" w:h="16838"/>
      <w:pgMar w:top="567" w:right="851" w:bottom="425"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942B5"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2829"/>
    <w:multiLevelType w:val="multilevel"/>
    <w:tmpl w:val="AD0C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D358C"/>
    <w:multiLevelType w:val="hybridMultilevel"/>
    <w:tmpl w:val="29F28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6C2D44"/>
    <w:multiLevelType w:val="multilevel"/>
    <w:tmpl w:val="96E0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E5CD7"/>
    <w:multiLevelType w:val="multilevel"/>
    <w:tmpl w:val="D4C4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83D10"/>
    <w:multiLevelType w:val="hybridMultilevel"/>
    <w:tmpl w:val="A93C0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767A7F"/>
    <w:multiLevelType w:val="multilevel"/>
    <w:tmpl w:val="3556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8A7A6C"/>
    <w:multiLevelType w:val="multilevel"/>
    <w:tmpl w:val="965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82656"/>
    <w:multiLevelType w:val="multilevel"/>
    <w:tmpl w:val="DB5E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агдашкина Наталья Петровна">
    <w15:presenceInfo w15:providerId="AD" w15:userId="S-1-5-21-468592602-2144342479-10498456-6968"/>
  </w15:person>
  <w15:person w15:author="Загоруйко Марина Евгеньевна">
    <w15:presenceInfo w15:providerId="AD" w15:userId="S-1-5-21-468592602-2144342479-10498456-138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efaultTabStop w:val="708"/>
  <w:characterSpacingControl w:val="doNotCompress"/>
  <w:compat/>
  <w:rsids>
    <w:rsidRoot w:val="00036EE8"/>
    <w:rsid w:val="00036EE8"/>
    <w:rsid w:val="00126362"/>
    <w:rsid w:val="001F0000"/>
    <w:rsid w:val="00425A23"/>
    <w:rsid w:val="004864C0"/>
    <w:rsid w:val="00561F79"/>
    <w:rsid w:val="007A0DEB"/>
    <w:rsid w:val="008A50D4"/>
    <w:rsid w:val="00B5543D"/>
    <w:rsid w:val="00B55EF3"/>
    <w:rsid w:val="00C330A7"/>
    <w:rsid w:val="00CA6D71"/>
    <w:rsid w:val="00CE2FE9"/>
    <w:rsid w:val="00FF2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 w:hanging="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00"/>
  </w:style>
  <w:style w:type="paragraph" w:styleId="2">
    <w:name w:val="heading 2"/>
    <w:basedOn w:val="a"/>
    <w:link w:val="20"/>
    <w:uiPriority w:val="9"/>
    <w:qFormat/>
    <w:rsid w:val="001F0000"/>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F00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00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0000"/>
    <w:rPr>
      <w:rFonts w:ascii="Times New Roman" w:eastAsia="Times New Roman" w:hAnsi="Times New Roman" w:cs="Times New Roman"/>
      <w:b/>
      <w:bCs/>
      <w:sz w:val="36"/>
      <w:szCs w:val="36"/>
      <w:lang w:eastAsia="ru-RU"/>
    </w:rPr>
  </w:style>
  <w:style w:type="paragraph" w:styleId="a3">
    <w:name w:val="Normal (Web)"/>
    <w:basedOn w:val="a"/>
    <w:unhideWhenUsed/>
    <w:rsid w:val="001F0000"/>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F000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1F0000"/>
    <w:rPr>
      <w:rFonts w:asciiTheme="majorHAnsi" w:eastAsiaTheme="majorEastAsia" w:hAnsiTheme="majorHAnsi" w:cstheme="majorBidi"/>
      <w:b/>
      <w:bCs/>
      <w:color w:val="4F81BD" w:themeColor="accent1"/>
    </w:rPr>
  </w:style>
  <w:style w:type="character" w:styleId="a4">
    <w:name w:val="Strong"/>
    <w:qFormat/>
    <w:rsid w:val="001F0000"/>
    <w:rPr>
      <w:b/>
      <w:bCs/>
    </w:rPr>
  </w:style>
  <w:style w:type="paragraph" w:styleId="a5">
    <w:name w:val="Balloon Text"/>
    <w:basedOn w:val="a"/>
    <w:link w:val="a6"/>
    <w:uiPriority w:val="99"/>
    <w:semiHidden/>
    <w:unhideWhenUsed/>
    <w:rsid w:val="001F0000"/>
    <w:rPr>
      <w:rFonts w:ascii="Segoe UI" w:hAnsi="Segoe UI" w:cs="Segoe UI"/>
      <w:sz w:val="18"/>
      <w:szCs w:val="18"/>
    </w:rPr>
  </w:style>
  <w:style w:type="character" w:customStyle="1" w:styleId="a6">
    <w:name w:val="Текст выноски Знак"/>
    <w:basedOn w:val="a0"/>
    <w:link w:val="a5"/>
    <w:uiPriority w:val="99"/>
    <w:semiHidden/>
    <w:rsid w:val="001F0000"/>
    <w:rPr>
      <w:rFonts w:ascii="Segoe UI" w:hAnsi="Segoe UI" w:cs="Segoe UI"/>
      <w:sz w:val="18"/>
      <w:szCs w:val="18"/>
    </w:rPr>
  </w:style>
  <w:style w:type="character" w:styleId="a7">
    <w:name w:val="annotation reference"/>
    <w:basedOn w:val="a0"/>
    <w:uiPriority w:val="99"/>
    <w:semiHidden/>
    <w:unhideWhenUsed/>
    <w:rsid w:val="00FF2DE2"/>
    <w:rPr>
      <w:sz w:val="16"/>
      <w:szCs w:val="16"/>
    </w:rPr>
  </w:style>
  <w:style w:type="paragraph" w:styleId="a8">
    <w:name w:val="annotation text"/>
    <w:basedOn w:val="a"/>
    <w:link w:val="a9"/>
    <w:uiPriority w:val="99"/>
    <w:semiHidden/>
    <w:unhideWhenUsed/>
    <w:rsid w:val="00FF2DE2"/>
    <w:rPr>
      <w:sz w:val="20"/>
      <w:szCs w:val="20"/>
    </w:rPr>
  </w:style>
  <w:style w:type="character" w:customStyle="1" w:styleId="a9">
    <w:name w:val="Текст примечания Знак"/>
    <w:basedOn w:val="a0"/>
    <w:link w:val="a8"/>
    <w:uiPriority w:val="99"/>
    <w:semiHidden/>
    <w:rsid w:val="00FF2DE2"/>
    <w:rPr>
      <w:sz w:val="20"/>
      <w:szCs w:val="20"/>
    </w:rPr>
  </w:style>
  <w:style w:type="paragraph" w:styleId="aa">
    <w:name w:val="annotation subject"/>
    <w:basedOn w:val="a8"/>
    <w:next w:val="a8"/>
    <w:link w:val="ab"/>
    <w:uiPriority w:val="99"/>
    <w:semiHidden/>
    <w:unhideWhenUsed/>
    <w:rsid w:val="00FF2DE2"/>
    <w:rPr>
      <w:b/>
      <w:bCs/>
    </w:rPr>
  </w:style>
  <w:style w:type="character" w:customStyle="1" w:styleId="ab">
    <w:name w:val="Тема примечания Знак"/>
    <w:basedOn w:val="a9"/>
    <w:link w:val="aa"/>
    <w:uiPriority w:val="99"/>
    <w:semiHidden/>
    <w:rsid w:val="00FF2DE2"/>
    <w:rPr>
      <w:b/>
      <w:bCs/>
      <w:sz w:val="20"/>
      <w:szCs w:val="20"/>
    </w:rPr>
  </w:style>
</w:styles>
</file>

<file path=word/webSettings.xml><?xml version="1.0" encoding="utf-8"?>
<w:webSettings xmlns:r="http://schemas.openxmlformats.org/officeDocument/2006/relationships" xmlns:w="http://schemas.openxmlformats.org/wordprocessingml/2006/main">
  <w:divs>
    <w:div w:id="79715601">
      <w:bodyDiv w:val="1"/>
      <w:marLeft w:val="0"/>
      <w:marRight w:val="0"/>
      <w:marTop w:val="0"/>
      <w:marBottom w:val="0"/>
      <w:divBdr>
        <w:top w:val="none" w:sz="0" w:space="0" w:color="auto"/>
        <w:left w:val="none" w:sz="0" w:space="0" w:color="auto"/>
        <w:bottom w:val="none" w:sz="0" w:space="0" w:color="auto"/>
        <w:right w:val="none" w:sz="0" w:space="0" w:color="auto"/>
      </w:divBdr>
    </w:div>
    <w:div w:id="107355296">
      <w:bodyDiv w:val="1"/>
      <w:marLeft w:val="0"/>
      <w:marRight w:val="0"/>
      <w:marTop w:val="0"/>
      <w:marBottom w:val="0"/>
      <w:divBdr>
        <w:top w:val="none" w:sz="0" w:space="0" w:color="auto"/>
        <w:left w:val="none" w:sz="0" w:space="0" w:color="auto"/>
        <w:bottom w:val="none" w:sz="0" w:space="0" w:color="auto"/>
        <w:right w:val="none" w:sz="0" w:space="0" w:color="auto"/>
      </w:divBdr>
    </w:div>
    <w:div w:id="275988075">
      <w:bodyDiv w:val="1"/>
      <w:marLeft w:val="0"/>
      <w:marRight w:val="0"/>
      <w:marTop w:val="0"/>
      <w:marBottom w:val="0"/>
      <w:divBdr>
        <w:top w:val="none" w:sz="0" w:space="0" w:color="auto"/>
        <w:left w:val="none" w:sz="0" w:space="0" w:color="auto"/>
        <w:bottom w:val="none" w:sz="0" w:space="0" w:color="auto"/>
        <w:right w:val="none" w:sz="0" w:space="0" w:color="auto"/>
      </w:divBdr>
    </w:div>
    <w:div w:id="611523088">
      <w:bodyDiv w:val="1"/>
      <w:marLeft w:val="0"/>
      <w:marRight w:val="0"/>
      <w:marTop w:val="0"/>
      <w:marBottom w:val="0"/>
      <w:divBdr>
        <w:top w:val="none" w:sz="0" w:space="0" w:color="auto"/>
        <w:left w:val="none" w:sz="0" w:space="0" w:color="auto"/>
        <w:bottom w:val="none" w:sz="0" w:space="0" w:color="auto"/>
        <w:right w:val="none" w:sz="0" w:space="0" w:color="auto"/>
      </w:divBdr>
    </w:div>
    <w:div w:id="943340555">
      <w:bodyDiv w:val="1"/>
      <w:marLeft w:val="0"/>
      <w:marRight w:val="0"/>
      <w:marTop w:val="0"/>
      <w:marBottom w:val="0"/>
      <w:divBdr>
        <w:top w:val="none" w:sz="0" w:space="0" w:color="auto"/>
        <w:left w:val="none" w:sz="0" w:space="0" w:color="auto"/>
        <w:bottom w:val="none" w:sz="0" w:space="0" w:color="auto"/>
        <w:right w:val="none" w:sz="0" w:space="0" w:color="auto"/>
      </w:divBdr>
    </w:div>
    <w:div w:id="1239710637">
      <w:bodyDiv w:val="1"/>
      <w:marLeft w:val="0"/>
      <w:marRight w:val="0"/>
      <w:marTop w:val="0"/>
      <w:marBottom w:val="0"/>
      <w:divBdr>
        <w:top w:val="none" w:sz="0" w:space="0" w:color="auto"/>
        <w:left w:val="none" w:sz="0" w:space="0" w:color="auto"/>
        <w:bottom w:val="none" w:sz="0" w:space="0" w:color="auto"/>
        <w:right w:val="none" w:sz="0" w:space="0" w:color="auto"/>
      </w:divBdr>
    </w:div>
    <w:div w:id="1528758346">
      <w:bodyDiv w:val="1"/>
      <w:marLeft w:val="0"/>
      <w:marRight w:val="0"/>
      <w:marTop w:val="0"/>
      <w:marBottom w:val="0"/>
      <w:divBdr>
        <w:top w:val="none" w:sz="0" w:space="0" w:color="auto"/>
        <w:left w:val="none" w:sz="0" w:space="0" w:color="auto"/>
        <w:bottom w:val="none" w:sz="0" w:space="0" w:color="auto"/>
        <w:right w:val="none" w:sz="0" w:space="0" w:color="auto"/>
      </w:divBdr>
    </w:div>
    <w:div w:id="1547327167">
      <w:bodyDiv w:val="1"/>
      <w:marLeft w:val="0"/>
      <w:marRight w:val="0"/>
      <w:marTop w:val="0"/>
      <w:marBottom w:val="0"/>
      <w:divBdr>
        <w:top w:val="none" w:sz="0" w:space="0" w:color="auto"/>
        <w:left w:val="none" w:sz="0" w:space="0" w:color="auto"/>
        <w:bottom w:val="none" w:sz="0" w:space="0" w:color="auto"/>
        <w:right w:val="none" w:sz="0" w:space="0" w:color="auto"/>
      </w:divBdr>
    </w:div>
    <w:div w:id="1962227499">
      <w:bodyDiv w:val="1"/>
      <w:marLeft w:val="0"/>
      <w:marRight w:val="0"/>
      <w:marTop w:val="0"/>
      <w:marBottom w:val="0"/>
      <w:divBdr>
        <w:top w:val="none" w:sz="0" w:space="0" w:color="auto"/>
        <w:left w:val="none" w:sz="0" w:space="0" w:color="auto"/>
        <w:bottom w:val="none" w:sz="0" w:space="0" w:color="auto"/>
        <w:right w:val="none" w:sz="0" w:space="0" w:color="auto"/>
      </w:divBdr>
    </w:div>
    <w:div w:id="2062703406">
      <w:bodyDiv w:val="1"/>
      <w:marLeft w:val="0"/>
      <w:marRight w:val="0"/>
      <w:marTop w:val="0"/>
      <w:marBottom w:val="0"/>
      <w:divBdr>
        <w:top w:val="none" w:sz="0" w:space="0" w:color="auto"/>
        <w:left w:val="none" w:sz="0" w:space="0" w:color="auto"/>
        <w:bottom w:val="none" w:sz="0" w:space="0" w:color="auto"/>
        <w:right w:val="none" w:sz="0" w:space="0" w:color="auto"/>
      </w:divBdr>
    </w:div>
    <w:div w:id="21231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mololkee</dc:creator>
  <cp:lastModifiedBy>mololkee</cp:lastModifiedBy>
  <cp:revision>5</cp:revision>
  <cp:lastPrinted>2021-04-13T07:37:00Z</cp:lastPrinted>
  <dcterms:created xsi:type="dcterms:W3CDTF">2021-04-12T15:30:00Z</dcterms:created>
  <dcterms:modified xsi:type="dcterms:W3CDTF">2021-04-16T09:43:00Z</dcterms:modified>
</cp:coreProperties>
</file>