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6" w:rsidRPr="00CE1F96" w:rsidRDefault="004C5797" w:rsidP="004C5797">
      <w:pPr>
        <w:spacing w:after="30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Информация, предоставляемая для ознакомления получателям</w:t>
      </w:r>
      <w:r w:rsidR="000B5696"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финансовых услуг</w:t>
      </w:r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оказываемых КБ «</w:t>
      </w:r>
      <w:proofErr w:type="spellStart"/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(АО) в процессе осуществления брокерской деятельности</w:t>
      </w:r>
    </w:p>
    <w:p w:rsidR="000B5696" w:rsidRPr="00CE1F96" w:rsidRDefault="000B5696" w:rsidP="00CE1F96">
      <w:pPr>
        <w:spacing w:after="270" w:line="330" w:lineRule="atLeast"/>
        <w:ind w:left="0"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Настоящая информация публикуется для получателей финансовых услуг КБ «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в соответствии с «Базовым стандартом защиты прав и интересов физических и юридических лиц - получателей финансовых услуг, оказываемых членами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саморегулируемых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организаций в сфере финансового рынка, объединяющих брокеров» (утв. Банком России, Протокол от 20.12.2018 № КФНП-39).</w:t>
      </w:r>
    </w:p>
    <w:p w:rsidR="004C5797" w:rsidRPr="00CE1F96" w:rsidRDefault="004C5797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 - Ко</w:t>
      </w:r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ммерческий банк «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Гарант-Инвест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» (Акционерное общество)</w:t>
      </w: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Общая информация 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Полное и сокращенное наименование:</w:t>
      </w:r>
    </w:p>
    <w:p w:rsidR="000B5696" w:rsidRPr="00CE1F96" w:rsidRDefault="000B5696" w:rsidP="00861EFD">
      <w:pPr>
        <w:numPr>
          <w:ilvl w:val="0"/>
          <w:numId w:val="1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полное наименование: </w:t>
      </w:r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Коммерческий банк «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Гарант-Инвест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21"/>
          <w:szCs w:val="21"/>
        </w:rPr>
        <w:t>» (Акционерное общество)</w:t>
      </w:r>
    </w:p>
    <w:p w:rsidR="000B5696" w:rsidRPr="00CE1F96" w:rsidRDefault="000B5696" w:rsidP="00861EFD">
      <w:pPr>
        <w:numPr>
          <w:ilvl w:val="0"/>
          <w:numId w:val="1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сокращенное наименование: </w:t>
      </w:r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КБ «</w:t>
      </w:r>
      <w:proofErr w:type="spellStart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Гарант-Инвест</w:t>
      </w:r>
      <w:proofErr w:type="spellEnd"/>
      <w:r w:rsidRPr="00CE1F96">
        <w:rPr>
          <w:rFonts w:ascii="Times New Roman" w:hAnsi="Times New Roman" w:cs="Times New Roman"/>
          <w:color w:val="000000" w:themeColor="text1"/>
          <w:sz w:val="19"/>
          <w:szCs w:val="19"/>
        </w:rPr>
        <w:t>» (АО)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</w:t>
      </w:r>
      <w:r w:rsidR="003C3FF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(местонахождение и почтовый адрес, места обслуживания получателей финансовых услуг)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: </w:t>
      </w:r>
    </w:p>
    <w:p w:rsidR="000B5696" w:rsidRPr="00A608AE" w:rsidRDefault="000B5696" w:rsidP="00861EFD">
      <w:pPr>
        <w:numPr>
          <w:ilvl w:val="0"/>
          <w:numId w:val="2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608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Российская Федерация, </w:t>
      </w:r>
      <w:r w:rsidRPr="00A608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127051, г. Москва, 1-й </w:t>
      </w:r>
      <w:proofErr w:type="spellStart"/>
      <w:r w:rsidRPr="00A608AE">
        <w:rPr>
          <w:rFonts w:ascii="Times New Roman" w:hAnsi="Times New Roman" w:cs="Times New Roman"/>
          <w:color w:val="000000" w:themeColor="text1"/>
          <w:sz w:val="21"/>
          <w:szCs w:val="21"/>
        </w:rPr>
        <w:t>Колобовский</w:t>
      </w:r>
      <w:proofErr w:type="spellEnd"/>
      <w:r w:rsidRPr="00A608A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пер. д.23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Дни и часы приема: </w:t>
      </w:r>
    </w:p>
    <w:p w:rsidR="000B5696" w:rsidRPr="00CE1F96" w:rsidRDefault="000B5696" w:rsidP="00861EFD">
      <w:pPr>
        <w:numPr>
          <w:ilvl w:val="0"/>
          <w:numId w:val="3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информация размещена на сайте: </w:t>
      </w:r>
      <w:hyperlink r:id="rId5" w:history="1">
        <w:r w:rsidRPr="00CE1F96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https://www.gibank.ru/Business-card/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электронной почты: </w:t>
      </w:r>
    </w:p>
    <w:p w:rsidR="000B5696" w:rsidRPr="00E86C40" w:rsidRDefault="00E23F99" w:rsidP="00861EFD">
      <w:pPr>
        <w:numPr>
          <w:ilvl w:val="0"/>
          <w:numId w:val="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hyperlink r:id="rId6" w:history="1">
        <w:r w:rsidR="00F41088" w:rsidRPr="00E86C40">
          <w:rPr>
            <w:rFonts w:ascii="Times New Roman" w:hAnsi="Times New Roman" w:cs="Times New Roman"/>
            <w:color w:val="0000FF"/>
            <w:sz w:val="21"/>
            <w:szCs w:val="21"/>
            <w:u w:val="single"/>
          </w:rPr>
          <w:t>bank@gibank.ru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Контактный телефон:</w:t>
      </w:r>
    </w:p>
    <w:p w:rsidR="000B5696" w:rsidRPr="00CE1F96" w:rsidRDefault="00F41088" w:rsidP="00861EFD">
      <w:pPr>
        <w:numPr>
          <w:ilvl w:val="0"/>
          <w:numId w:val="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(495) 650-90-03 (многоканальный)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F41088" w:rsidP="00861EFD">
      <w:pPr>
        <w:numPr>
          <w:ilvl w:val="0"/>
          <w:numId w:val="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(495) 694-03-86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официального сайта в сети «Интернет»: </w:t>
      </w:r>
    </w:p>
    <w:p w:rsidR="000B5696" w:rsidRPr="000D3709" w:rsidRDefault="00E23F99" w:rsidP="00861EFD">
      <w:pPr>
        <w:numPr>
          <w:ilvl w:val="0"/>
          <w:numId w:val="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</w:pPr>
      <w:hyperlink r:id="rId7" w:history="1">
        <w:r w:rsidR="00763081" w:rsidRPr="000D3709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</w:p>
    <w:p w:rsidR="001529B1" w:rsidRPr="001529B1" w:rsidRDefault="001529B1" w:rsidP="001529B1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529B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Используемый товарный знак:</w:t>
      </w:r>
    </w:p>
    <w:p w:rsidR="001529B1" w:rsidRPr="001529B1" w:rsidRDefault="001529B1" w:rsidP="001529B1">
      <w:pPr>
        <w:numPr>
          <w:ilvl w:val="0"/>
          <w:numId w:val="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457200" cy="4709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Лицензия на осуществление брокерской деятельности, включая номер, дату выдачи и срок действия лицензии:</w:t>
      </w:r>
    </w:p>
    <w:p w:rsidR="000B5696" w:rsidRPr="00CE1F96" w:rsidRDefault="000B5696" w:rsidP="00861EFD">
      <w:pPr>
        <w:numPr>
          <w:ilvl w:val="0"/>
          <w:numId w:val="7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Лицензия профессионального участника рынка ценных бумаг на осуществление брокерской деятельности </w:t>
      </w:r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№ 077 – 07634 – 100000 от 23.04.2004 (без ограничения срока действия)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Орган, выдавший лицензию на осуществление брокерской деятельности (его наименование, адрес и телефоны):</w:t>
      </w:r>
    </w:p>
    <w:p w:rsidR="00AC33C9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Лицензия на осуществление брокерской деятельности выдана </w:t>
      </w:r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ФСФР России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(с 01.09.2013 упразднена)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AC33C9" w:rsidP="00861EFD">
      <w:pPr>
        <w:spacing w:before="75" w:after="75" w:line="330" w:lineRule="atLeast"/>
        <w:ind w:left="43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Полномочия ФСФР России с 01.09.2013 переданы Банку России</w:t>
      </w:r>
    </w:p>
    <w:p w:rsidR="000B5696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 Банка России: 10701</w:t>
      </w:r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6, г. Москва, ул. </w:t>
      </w:r>
      <w:proofErr w:type="spellStart"/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="00763081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12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</w:p>
    <w:p w:rsidR="000B5696" w:rsidRPr="00CE1F96" w:rsidRDefault="000B5696" w:rsidP="00861EFD">
      <w:pPr>
        <w:numPr>
          <w:ilvl w:val="0"/>
          <w:numId w:val="8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Телефоны Контактного центра Банка России:</w:t>
      </w:r>
    </w:p>
    <w:p w:rsidR="000B5696" w:rsidRPr="00CE1F96" w:rsidRDefault="000B5696" w:rsidP="00861EFD">
      <w:pPr>
        <w:numPr>
          <w:ilvl w:val="1"/>
          <w:numId w:val="8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 (800) 300-30-00 - бесплатно на </w:t>
      </w:r>
      <w:r w:rsidR="0067193B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территории Российской Федерации</w:t>
      </w:r>
    </w:p>
    <w:p w:rsidR="000B5696" w:rsidRPr="00CE1F96" w:rsidRDefault="000B5696" w:rsidP="00861EFD">
      <w:pPr>
        <w:numPr>
          <w:ilvl w:val="1"/>
          <w:numId w:val="8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+7 (499) 300-30-00 - тарификация в соответст</w:t>
      </w:r>
      <w:r w:rsidR="0067193B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вии с тарифами Вашего оператора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Членство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организации, с указанием наименования такой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организации, адресе сайта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в сети «Интернет» </w:t>
      </w: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о ее</w:t>
      </w:r>
      <w:proofErr w:type="gram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стандартах по защите прав и интересов получателей финансовых услуг:</w:t>
      </w:r>
    </w:p>
    <w:p w:rsidR="000B5696" w:rsidRPr="00CE1F96" w:rsidRDefault="00AC33C9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КБ «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19.04.2016</w:t>
      </w:r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является членом </w:t>
      </w:r>
      <w:proofErr w:type="spellStart"/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="000B5696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«Национальная ассоциация участ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ников фондового рынка» (НАУФОР)</w:t>
      </w:r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сайта СРО НАУФОР: </w:t>
      </w:r>
      <w:hyperlink r:id="rId9" w:history="1">
        <w:r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https://naufor.ru/</w:t>
        </w:r>
      </w:hyperlink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Телефоны СРО НАУФОР: </w:t>
      </w:r>
      <w:r w:rsidR="00876EDC" w:rsidRPr="00F5690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</w:t>
      </w:r>
      <w:r w:rsidR="00876EDC" w:rsidRPr="00F56907">
        <w:rPr>
          <w:rFonts w:ascii="Times New Roman" w:hAnsi="Times New Roman" w:cs="Times New Roman"/>
          <w:color w:val="01161E"/>
          <w:sz w:val="21"/>
          <w:szCs w:val="21"/>
        </w:rPr>
        <w:t>(495)787-77-74, +7 (495) 787-77-7</w:t>
      </w:r>
      <w:r w:rsidR="00876EDC">
        <w:rPr>
          <w:rFonts w:ascii="Times New Roman" w:hAnsi="Times New Roman" w:cs="Times New Roman"/>
          <w:color w:val="01161E"/>
          <w:sz w:val="21"/>
          <w:szCs w:val="21"/>
        </w:rPr>
        <w:t>5</w:t>
      </w:r>
    </w:p>
    <w:p w:rsidR="000B5696" w:rsidRPr="00CE1F96" w:rsidRDefault="000B5696" w:rsidP="00861EFD">
      <w:pPr>
        <w:numPr>
          <w:ilvl w:val="0"/>
          <w:numId w:val="9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Стандарт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ы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саморегулируемой</w:t>
      </w:r>
      <w:proofErr w:type="spellEnd"/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организации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 защите прав и интересов получателей финансовых услуг 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(при наличии) размещаются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сайте </w:t>
      </w:r>
      <w:r w:rsid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СРО НАУФОР </w:t>
      </w:r>
      <w:hyperlink r:id="rId10" w:history="1">
        <w:r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https://naufor.ru/tree.asp?n=16042</w:t>
        </w:r>
      </w:hyperlink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Орган, осуществляющий полномочия по контролю и надзору за деятельностью брокера:</w:t>
      </w:r>
    </w:p>
    <w:p w:rsidR="000B5696" w:rsidRDefault="000B5696" w:rsidP="00861EFD">
      <w:pPr>
        <w:numPr>
          <w:ilvl w:val="0"/>
          <w:numId w:val="10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Центральный банк Российской Федерации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(Банк России)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(Департамент рынка ценных бумаг и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товарного рынка)</w:t>
      </w:r>
    </w:p>
    <w:p w:rsidR="00CE1F96" w:rsidRDefault="00CE1F96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Банка России: 107016, г. Москва, ул.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12 </w:t>
      </w:r>
    </w:p>
    <w:p w:rsidR="00CE1F96" w:rsidRPr="00CE1F96" w:rsidRDefault="00CE1F96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Телефон: 8 (800) 300-30-00, +7 (499) 300-30-00</w:t>
      </w:r>
    </w:p>
    <w:p w:rsidR="00CE1F96" w:rsidRPr="00CE1F96" w:rsidRDefault="00F2338B" w:rsidP="00CE1F96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Официальный сайт Банка России:</w:t>
      </w:r>
      <w:r w:rsidRPr="00F2338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1" w:history="1"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https</w:t>
        </w:r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://</w:t>
        </w:r>
        <w:proofErr w:type="spellStart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cbr</w:t>
        </w:r>
        <w:proofErr w:type="spellEnd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.</w:t>
        </w:r>
        <w:proofErr w:type="spellStart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val="en-US" w:eastAsia="ru-RU"/>
          </w:rPr>
          <w:t>ru</w:t>
        </w:r>
        <w:proofErr w:type="spellEnd"/>
        <w:r w:rsidRPr="00F2338B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/</w:t>
        </w:r>
      </w:hyperlink>
    </w:p>
    <w:p w:rsidR="00835EA8" w:rsidRPr="00CE1F96" w:rsidRDefault="00835EA8" w:rsidP="00861EFD">
      <w:pPr>
        <w:spacing w:before="75" w:after="75" w:line="330" w:lineRule="atLeast"/>
        <w:ind w:left="79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Информация о финансовых услугах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финансовых услугах, оказываемых на основании договора о брокерском обслуживании, и дополнительных услугах брокера, в том числе оказываемых брокером за дополнительную плату</w:t>
      </w:r>
    </w:p>
    <w:p w:rsidR="00F2338B" w:rsidRPr="00F447E0" w:rsidRDefault="000B5696" w:rsidP="00F447E0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Информация о финансовых услугах, оказываемых на основании договора о брокерском обслуживании,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дополнительных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услугах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брокера (при их наличии), в том числе оказываемых брокером за дополнительную плату,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содержится в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Регламенте </w:t>
      </w:r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оказания брокерских услуг КБ «</w:t>
      </w:r>
      <w:proofErr w:type="spellStart"/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E5113F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 на рынке ценных бумаг и срочном рынке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Порядке предоставления информации и документов инвесторам в связи с обращением ценных бумаг КБ «</w:t>
      </w:r>
      <w:proofErr w:type="spellStart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(АО), Правилах КБ «</w:t>
      </w:r>
      <w:proofErr w:type="spellStart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proofErr w:type="gramEnd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</w:t>
      </w:r>
      <w:proofErr w:type="gramStart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АО) признания клиентов квалифицированными инвесторами, размещенных на официальном сайте </w:t>
      </w:r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брокера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2" w:history="1">
        <w:r w:rsidR="00F447E0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  <w:proofErr w:type="gramEnd"/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порядке получения финансовой услуги, в том числе документах, которые должны быть предоставлены получателем финансовых услуг для ее получения</w:t>
      </w:r>
    </w:p>
    <w:p w:rsidR="002D616D" w:rsidRPr="00F447E0" w:rsidRDefault="000B5696" w:rsidP="00F447E0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Порядок получения финансовой услуги,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оказываемой брокером на основании договора о брокерском обслуживании, и дополнительных услуг брокера (при их наличии), в том числе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оказываемых брокером за дополнительную плату (в том числе документы, которые должны быть представлены получателем финансовых услуг для их получения), </w:t>
      </w:r>
      <w:r w:rsid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содержи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тся в </w:t>
      </w:r>
      <w:r w:rsidR="00F447E0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Регламенте оказания брокерских услуг КБ «</w:t>
      </w:r>
      <w:proofErr w:type="spellStart"/>
      <w:r w:rsidR="00F447E0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F447E0"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на рынке ценных бумаг и срочном рынке, 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Порядке предоставления информации</w:t>
      </w:r>
      <w:proofErr w:type="gramEnd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документов инвесторам в связи с обращением ценных бумаг КБ «</w:t>
      </w:r>
      <w:proofErr w:type="spellStart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(АО), Правилах КБ «</w:t>
      </w:r>
      <w:proofErr w:type="spellStart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признания клиентов квалифицированными инвесторами, размещенных на официальном сайте </w:t>
      </w:r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брокера</w:t>
      </w:r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3" w:history="1">
        <w:r w:rsidR="00F447E0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F447E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 способах и адресах направления обращений (жалоб) брокеру,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саморегулируемую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организацию, в орган, осуществляющий полномочия по контролю и надзору за деятельностью брокера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Способы и адреса направления обращений (жалоб</w:t>
      </w:r>
      <w:r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="00B05F8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брокеру</w:t>
      </w:r>
      <w:r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67193B" w:rsidRPr="007C387A" w:rsidRDefault="00B05F8F" w:rsidP="00861EFD">
      <w:pPr>
        <w:numPr>
          <w:ilvl w:val="0"/>
          <w:numId w:val="2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принимает обращения (жалобы) </w:t>
      </w:r>
      <w:r w:rsidR="00F56907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письменном (бумажном) виде по адресу места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обслуживания </w:t>
      </w:r>
      <w:r w:rsidR="00F56907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получателей финансовых услуг</w:t>
      </w:r>
      <w:r w:rsidR="000B5696" w:rsidRPr="007C387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: </w:t>
      </w:r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127051, г. Москва, 1-й </w:t>
      </w:r>
      <w:proofErr w:type="spellStart"/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>Колобовский</w:t>
      </w:r>
      <w:proofErr w:type="spellEnd"/>
      <w:r w:rsidR="0067193B" w:rsidRPr="007C387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пер. д.23</w:t>
      </w:r>
    </w:p>
    <w:p w:rsidR="00F56907" w:rsidRDefault="00F56907" w:rsidP="00F56907">
      <w:pPr>
        <w:spacing w:before="75" w:after="75" w:line="330" w:lineRule="atLeast"/>
        <w:ind w:left="795" w:right="75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- при личном обращении получателя финансовых услуг</w:t>
      </w:r>
    </w:p>
    <w:p w:rsidR="00F56907" w:rsidRPr="00CE1F96" w:rsidRDefault="00F56907" w:rsidP="00F56907">
      <w:pPr>
        <w:spacing w:before="75" w:after="75" w:line="330" w:lineRule="atLeast"/>
        <w:ind w:left="795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- при отправке почтового отправления получателем финансовых услуг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и адреса направления обращений (жалоб) в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Саморегулируемую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организацию «Национальная ассоциация участников фондового рынка» (НАУФОР):</w:t>
      </w:r>
    </w:p>
    <w:p w:rsidR="000B5696" w:rsidRPr="00CE1F96" w:rsidRDefault="000B5696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обращения в СРО НАУФОР указаны на сайте СРО НАУФОР </w:t>
      </w:r>
      <w:hyperlink r:id="rId14" w:history="1">
        <w:r w:rsidR="00F56907" w:rsidRPr="00CE1F9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https://naufor.ru/</w:t>
        </w:r>
      </w:hyperlink>
    </w:p>
    <w:p w:rsidR="000B5696" w:rsidRDefault="000B5696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Адрес СРО НАУФОР: 109004, Москва, ул. Земляной Вал, д.65, стр.2</w:t>
      </w:r>
    </w:p>
    <w:p w:rsidR="00F56907" w:rsidRPr="00CE1F96" w:rsidRDefault="00F56907" w:rsidP="00861EFD">
      <w:pPr>
        <w:numPr>
          <w:ilvl w:val="0"/>
          <w:numId w:val="14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Телефон СРО НАУФОР: </w:t>
      </w:r>
      <w:r w:rsidRPr="00F5690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</w:t>
      </w:r>
      <w:r w:rsidRPr="00F56907">
        <w:rPr>
          <w:rFonts w:ascii="Times New Roman" w:hAnsi="Times New Roman" w:cs="Times New Roman"/>
          <w:color w:val="01161E"/>
          <w:sz w:val="21"/>
          <w:szCs w:val="21"/>
        </w:rPr>
        <w:t>(495)787-77-74, +7 (495) 787-77-7</w:t>
      </w:r>
      <w:r w:rsidR="00876EDC">
        <w:rPr>
          <w:rFonts w:ascii="Times New Roman" w:hAnsi="Times New Roman" w:cs="Times New Roman"/>
          <w:color w:val="01161E"/>
          <w:sz w:val="21"/>
          <w:szCs w:val="21"/>
        </w:rPr>
        <w:t>5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Способы и адреса направления обращений (жалоб) в Банк России:</w:t>
      </w:r>
    </w:p>
    <w:p w:rsidR="000B5696" w:rsidRPr="00CE1F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адреса направления обращений (жалоб) 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Банк России указаны на сайте Банка России </w:t>
      </w:r>
      <w:hyperlink r:id="rId15" w:history="1">
        <w:r w:rsidRPr="00876ED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https://cbr.ru/contacts/</w:t>
        </w:r>
      </w:hyperlink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hyperlink r:id="rId16" w:history="1">
        <w:r w:rsidRPr="00876EDC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https://www.cbr.ru/Reception/</w:t>
        </w:r>
      </w:hyperlink>
    </w:p>
    <w:p w:rsidR="000B56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Банка России: 107016, Москва, ул.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Неглинная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12 </w:t>
      </w:r>
    </w:p>
    <w:p w:rsidR="00876EDC" w:rsidRPr="00CE1F96" w:rsidRDefault="00876EDC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Адрес общественной приемной Банка России: Москва,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Сандуновский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пер., д.3, стр.1 </w:t>
      </w:r>
    </w:p>
    <w:p w:rsidR="000B5696" w:rsidRPr="00CE1F96" w:rsidRDefault="000B5696" w:rsidP="00861EFD">
      <w:pPr>
        <w:numPr>
          <w:ilvl w:val="0"/>
          <w:numId w:val="15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Телефоны Контактного центра Банка России:</w:t>
      </w:r>
    </w:p>
    <w:p w:rsidR="000B5696" w:rsidRPr="00CE1F96" w:rsidRDefault="000B5696" w:rsidP="00861EFD">
      <w:pPr>
        <w:numPr>
          <w:ilvl w:val="1"/>
          <w:numId w:val="15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8 (800) 300-30-00 - бесплатно на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территории Российской Федерации</w:t>
      </w:r>
    </w:p>
    <w:p w:rsidR="000B5696" w:rsidRPr="00CE1F96" w:rsidRDefault="000B5696" w:rsidP="00861EFD">
      <w:pPr>
        <w:numPr>
          <w:ilvl w:val="1"/>
          <w:numId w:val="15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+7 (499) 300-30-00 - тарификация в соответствии с тарифами </w:t>
      </w:r>
      <w:r w:rsidR="00876E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Вашего оператора</w:t>
      </w:r>
    </w:p>
    <w:p w:rsidR="000B5696" w:rsidRPr="00CE1F96" w:rsidRDefault="000B5696" w:rsidP="00861EFD">
      <w:pPr>
        <w:spacing w:after="270" w:line="330" w:lineRule="atLeast"/>
        <w:ind w:left="0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</w:t>
      </w:r>
    </w:p>
    <w:p w:rsidR="000B5696" w:rsidRPr="00CE1F96" w:rsidRDefault="000B5696" w:rsidP="00861EFD">
      <w:pPr>
        <w:numPr>
          <w:ilvl w:val="0"/>
          <w:numId w:val="16"/>
        </w:numPr>
        <w:spacing w:before="75" w:after="75" w:line="330" w:lineRule="atLeast"/>
        <w:ind w:left="79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Права получателей финансовых услуг установлены: 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Федеральным законом от 05.03.1999 № 46-ФЗ «О защите прав и законных интересов инвесторов на рынке ценных бумаг»;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«Базовым стандартом защиты прав и интересов физических и юридических лиц - получателей финансовых услуг, оказываемых членами 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саморегулируемых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организаций в сфере финансового рынка, объединяющих брокеров» (утв. Банком России, Протокол от 20.12.2018 № КФНП-39)</w:t>
      </w:r>
      <w:r w:rsidR="00A8731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0B5696" w:rsidRPr="00CE1F96" w:rsidRDefault="000B5696" w:rsidP="00861EFD">
      <w:pPr>
        <w:numPr>
          <w:ilvl w:val="1"/>
          <w:numId w:val="16"/>
        </w:numPr>
        <w:spacing w:before="75" w:after="75" w:line="330" w:lineRule="atLeast"/>
        <w:ind w:left="1515"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другими законодательными и нормативными актами РФ. </w:t>
      </w:r>
    </w:p>
    <w:p w:rsidR="00ED2CB9" w:rsidRPr="00F447E0" w:rsidRDefault="00876EDC" w:rsidP="00ED2CB9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Способы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 определены в </w:t>
      </w:r>
      <w:r w:rsidR="00F40BCA"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Регламенте оказания брокерских услуг КБ «</w:t>
      </w:r>
      <w:proofErr w:type="spellStart"/>
      <w:r w:rsidR="00F40BCA"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F40BCA"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на рынке ценных бумаг и срочном рынке, размещенном </w:t>
      </w:r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 официальном сайте брокера </w:t>
      </w:r>
      <w:hyperlink r:id="rId17" w:history="1">
        <w:r w:rsidR="00ED2CB9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  <w:proofErr w:type="gramEnd"/>
    </w:p>
    <w:p w:rsidR="00600507" w:rsidRPr="00ED2CB9" w:rsidRDefault="000B5696" w:rsidP="000B25C6">
      <w:pPr>
        <w:spacing w:before="75" w:after="270" w:line="330" w:lineRule="atLeast"/>
        <w:ind w:left="0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способах и порядке изменения условий договора о брокерском обслуживании, в том числе в результате внесения брокером изменений во внутренние документы</w:t>
      </w:r>
      <w:r w:rsidR="00600507" w:rsidRP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ссылка на которые содержится в договоре о брокерском обслуживании:</w:t>
      </w:r>
    </w:p>
    <w:p w:rsidR="00ED2CB9" w:rsidRPr="00ED2CB9" w:rsidRDefault="00600507" w:rsidP="00ED2CB9">
      <w:pPr>
        <w:numPr>
          <w:ilvl w:val="0"/>
          <w:numId w:val="10"/>
        </w:num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Способы и порядок изменения условий договора о брокерском обслуживании, в том числе в результате внесения брокером изменений во внутренние документы, ссылка на которые содержится в договоре о брокерском обслуживании, </w:t>
      </w:r>
      <w:r w:rsidR="00E870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определены</w:t>
      </w:r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в Регламенте оказания брокерских услуг КБ «</w:t>
      </w:r>
      <w:proofErr w:type="spellStart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Pr="00CE1F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(АО) на рынке ценных бумаг и срочном рынке, размещенном на </w:t>
      </w:r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официальном сайте брокера </w:t>
      </w:r>
      <w:hyperlink r:id="rId18" w:history="1">
        <w:r w:rsidR="00ED2CB9" w:rsidRPr="00270C7D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ED2CB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 </w:t>
      </w:r>
      <w:proofErr w:type="gramEnd"/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Оказываемые </w:t>
      </w:r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КБ «</w:t>
      </w:r>
      <w:proofErr w:type="spellStart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финансовые услуги на основании </w:t>
      </w:r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Регламента оказания брокерских услуг КБ «</w:t>
      </w:r>
      <w:proofErr w:type="spellStart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600507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 на рынке ценных бумаг и срочном рынке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являются услугами по открытию банковских счетов и приему вкладов. </w:t>
      </w:r>
    </w:p>
    <w:p w:rsidR="000B5696" w:rsidRPr="00CE1F96" w:rsidRDefault="000B5696" w:rsidP="00E870D5">
      <w:pPr>
        <w:spacing w:after="300"/>
        <w:ind w:left="0" w:firstLine="567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Денежные средства, передаваемые по договору о брокерском обслуживании, не подлежат страхованию в соответствии с Федеральным законом от 23.12.2003 г. № 177-ФЗ «О страховании вкладов физических лиц в банках Российской Федерации».</w:t>
      </w:r>
    </w:p>
    <w:p w:rsidR="000B5696" w:rsidRDefault="000B5696" w:rsidP="000B25C6">
      <w:p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="00A953DC"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A953DC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заключения договора о брокерском обслуживании </w:t>
      </w:r>
      <w:r w:rsidR="00600507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КБ «</w:t>
      </w:r>
      <w:proofErr w:type="spellStart"/>
      <w:r w:rsidR="00600507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600507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</w:t>
      </w:r>
      <w:r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уведомляет получателя финансовых услуг о рисках, связанных с присоединением к </w:t>
      </w:r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Регламенту оказания брокерских услуг КБ «</w:t>
      </w:r>
      <w:proofErr w:type="spellStart"/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 на рынке ценных бумаг и срочном рынке,</w:t>
      </w:r>
      <w:r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53DC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путем предоставления ему Деклараций</w:t>
      </w:r>
      <w:r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рисках</w:t>
      </w:r>
      <w:r w:rsidR="00A953DC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№2 к Регламенту оказания брокерских услуг КБ «</w:t>
      </w:r>
      <w:proofErr w:type="spellStart"/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Гарант-Инвест</w:t>
      </w:r>
      <w:proofErr w:type="spellEnd"/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(АО) на рынке ценных бумаг и срочном рынке</w:t>
      </w:r>
      <w:r w:rsidR="00A953DC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размещенному </w:t>
      </w:r>
      <w:r w:rsidR="000B25C6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официальном сайте</w:t>
      </w:r>
      <w:proofErr w:type="gramEnd"/>
      <w:r w:rsidR="000B25C6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брокера </w:t>
      </w:r>
      <w:hyperlink r:id="rId19" w:history="1">
        <w:r w:rsidR="000B25C6" w:rsidRPr="000B25C6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https://www.gibank.ru/</w:t>
        </w:r>
      </w:hyperlink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25C6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C79C9" w:rsidRPr="000B2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B25C6" w:rsidRPr="000B25C6" w:rsidRDefault="000B25C6" w:rsidP="000B25C6">
      <w:pPr>
        <w:spacing w:before="75" w:after="75" w:line="330" w:lineRule="atLeast"/>
        <w:ind w:right="7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0B5696" w:rsidRPr="00CE1F96" w:rsidRDefault="000B5696" w:rsidP="00861EFD">
      <w:pPr>
        <w:spacing w:after="300"/>
        <w:ind w:left="0" w:firstLine="0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Документы и </w:t>
      </w:r>
      <w:r w:rsidR="00A87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копии, предоставляемые Брокером</w:t>
      </w:r>
      <w:r w:rsidRPr="00CE1F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запросу получателя финансовых услуг</w:t>
      </w:r>
    </w:p>
    <w:p w:rsidR="005B1B5D" w:rsidRPr="000B25C6" w:rsidRDefault="00E870D5" w:rsidP="005B1B5D">
      <w:pPr>
        <w:spacing w:before="75" w:after="75" w:line="330" w:lineRule="atLeast"/>
        <w:ind w:right="75" w:firstLine="398"/>
        <w:rPr>
          <w:rFonts w:ascii="Times New Roman" w:hAnsi="Times New Roman" w:cs="Times New Roman"/>
          <w:sz w:val="21"/>
          <w:szCs w:val="21"/>
        </w:rPr>
      </w:pPr>
      <w:proofErr w:type="gramStart"/>
      <w:r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Брокер</w:t>
      </w:r>
      <w:r w:rsidR="000B5696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предоставляет по письменному запросу получателя финансовых услуг информацию, связанную с оказанием финансовой услуги, включая информацию о вознаграждении брокера, а также документы и их копии, содержащие </w:t>
      </w:r>
      <w:r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указанную </w:t>
      </w:r>
      <w:r w:rsidR="000B5696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информацию</w:t>
      </w:r>
      <w:r w:rsidR="005B1B5D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в соответствии с   </w:t>
      </w:r>
      <w:r w:rsidR="00A608A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Регламентом</w:t>
      </w:r>
      <w:r w:rsidR="005B1B5D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оказания брокерских услуг КБ «</w:t>
      </w:r>
      <w:proofErr w:type="spellStart"/>
      <w:r w:rsidR="005B1B5D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Гарант-Инвест</w:t>
      </w:r>
      <w:proofErr w:type="spellEnd"/>
      <w:r w:rsidR="005B1B5D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(АО) на рынке ценных б</w:t>
      </w:r>
      <w:r w:rsid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умаг и срочном рынке, размещенны</w:t>
      </w:r>
      <w:r w:rsidR="005B1B5D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м на </w:t>
      </w:r>
      <w:r w:rsidR="000B25C6" w:rsidRPr="000B25C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официальном сайте брокера </w:t>
      </w:r>
      <w:hyperlink r:id="rId20" w:history="1">
        <w:r w:rsidR="000B25C6" w:rsidRPr="000B25C6">
          <w:rPr>
            <w:rStyle w:val="a3"/>
            <w:rFonts w:ascii="Times New Roman" w:eastAsia="Times New Roman" w:hAnsi="Times New Roman" w:cs="Times New Roman"/>
            <w:color w:val="0000FF"/>
            <w:sz w:val="21"/>
            <w:szCs w:val="21"/>
            <w:lang w:eastAsia="ru-RU"/>
          </w:rPr>
          <w:t>https://www.gibank.ru/</w:t>
        </w:r>
      </w:hyperlink>
      <w:r w:rsidR="000B25C6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4A47B9" w:rsidRPr="00F2338B" w:rsidRDefault="004A47B9" w:rsidP="00322282">
      <w:pPr>
        <w:spacing w:before="75" w:after="75" w:line="330" w:lineRule="atLeast"/>
        <w:ind w:left="0" w:right="75" w:firstLine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sectPr w:rsidR="004A47B9" w:rsidRPr="00F2338B" w:rsidSect="000B25C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C0"/>
    <w:multiLevelType w:val="multilevel"/>
    <w:tmpl w:val="DE9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A4C32"/>
    <w:multiLevelType w:val="multilevel"/>
    <w:tmpl w:val="DC5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E72D2"/>
    <w:multiLevelType w:val="multilevel"/>
    <w:tmpl w:val="732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15E6F"/>
    <w:multiLevelType w:val="multilevel"/>
    <w:tmpl w:val="0F4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F7334"/>
    <w:multiLevelType w:val="multilevel"/>
    <w:tmpl w:val="DEA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B0125"/>
    <w:multiLevelType w:val="multilevel"/>
    <w:tmpl w:val="46A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B08F3"/>
    <w:multiLevelType w:val="multilevel"/>
    <w:tmpl w:val="201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AF0"/>
    <w:multiLevelType w:val="multilevel"/>
    <w:tmpl w:val="260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A17D5"/>
    <w:multiLevelType w:val="multilevel"/>
    <w:tmpl w:val="F1E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464FB"/>
    <w:multiLevelType w:val="multilevel"/>
    <w:tmpl w:val="65D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54E78"/>
    <w:multiLevelType w:val="multilevel"/>
    <w:tmpl w:val="43C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A3C95"/>
    <w:multiLevelType w:val="multilevel"/>
    <w:tmpl w:val="A4F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13372"/>
    <w:multiLevelType w:val="multilevel"/>
    <w:tmpl w:val="951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C2F0A"/>
    <w:multiLevelType w:val="multilevel"/>
    <w:tmpl w:val="BF34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A0A03"/>
    <w:multiLevelType w:val="multilevel"/>
    <w:tmpl w:val="8BA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20F5D"/>
    <w:multiLevelType w:val="multilevel"/>
    <w:tmpl w:val="228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95684"/>
    <w:multiLevelType w:val="multilevel"/>
    <w:tmpl w:val="9E9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9417B"/>
    <w:multiLevelType w:val="multilevel"/>
    <w:tmpl w:val="751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C23A9"/>
    <w:multiLevelType w:val="multilevel"/>
    <w:tmpl w:val="88F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403CF"/>
    <w:multiLevelType w:val="multilevel"/>
    <w:tmpl w:val="8DF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42D8D"/>
    <w:multiLevelType w:val="multilevel"/>
    <w:tmpl w:val="68A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63E85"/>
    <w:multiLevelType w:val="multilevel"/>
    <w:tmpl w:val="6FA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1713B"/>
    <w:multiLevelType w:val="multilevel"/>
    <w:tmpl w:val="68A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965A0"/>
    <w:multiLevelType w:val="multilevel"/>
    <w:tmpl w:val="0DA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E14404"/>
    <w:multiLevelType w:val="multilevel"/>
    <w:tmpl w:val="023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86D06"/>
    <w:multiLevelType w:val="multilevel"/>
    <w:tmpl w:val="A56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379D"/>
    <w:multiLevelType w:val="multilevel"/>
    <w:tmpl w:val="608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6797D"/>
    <w:multiLevelType w:val="multilevel"/>
    <w:tmpl w:val="257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2A5C"/>
    <w:multiLevelType w:val="multilevel"/>
    <w:tmpl w:val="A73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E1815"/>
    <w:multiLevelType w:val="multilevel"/>
    <w:tmpl w:val="1CD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30024"/>
    <w:multiLevelType w:val="multilevel"/>
    <w:tmpl w:val="207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F16B0"/>
    <w:multiLevelType w:val="multilevel"/>
    <w:tmpl w:val="1E60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55565"/>
    <w:multiLevelType w:val="multilevel"/>
    <w:tmpl w:val="9B2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D4609"/>
    <w:multiLevelType w:val="multilevel"/>
    <w:tmpl w:val="3A8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1"/>
  </w:num>
  <w:num w:numId="5">
    <w:abstractNumId w:val="22"/>
  </w:num>
  <w:num w:numId="6">
    <w:abstractNumId w:val="31"/>
  </w:num>
  <w:num w:numId="7">
    <w:abstractNumId w:val="8"/>
  </w:num>
  <w:num w:numId="8">
    <w:abstractNumId w:val="9"/>
  </w:num>
  <w:num w:numId="9">
    <w:abstractNumId w:val="17"/>
  </w:num>
  <w:num w:numId="10">
    <w:abstractNumId w:val="29"/>
  </w:num>
  <w:num w:numId="11">
    <w:abstractNumId w:val="13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7"/>
  </w:num>
  <w:num w:numId="17">
    <w:abstractNumId w:val="30"/>
  </w:num>
  <w:num w:numId="18">
    <w:abstractNumId w:val="4"/>
  </w:num>
  <w:num w:numId="19">
    <w:abstractNumId w:val="26"/>
  </w:num>
  <w:num w:numId="20">
    <w:abstractNumId w:val="20"/>
  </w:num>
  <w:num w:numId="21">
    <w:abstractNumId w:val="21"/>
  </w:num>
  <w:num w:numId="22">
    <w:abstractNumId w:val="6"/>
  </w:num>
  <w:num w:numId="23">
    <w:abstractNumId w:val="23"/>
  </w:num>
  <w:num w:numId="24">
    <w:abstractNumId w:val="3"/>
  </w:num>
  <w:num w:numId="25">
    <w:abstractNumId w:val="24"/>
  </w:num>
  <w:num w:numId="26">
    <w:abstractNumId w:val="15"/>
  </w:num>
  <w:num w:numId="27">
    <w:abstractNumId w:val="19"/>
  </w:num>
  <w:num w:numId="28">
    <w:abstractNumId w:val="33"/>
  </w:num>
  <w:num w:numId="29">
    <w:abstractNumId w:val="0"/>
  </w:num>
  <w:num w:numId="30">
    <w:abstractNumId w:val="2"/>
  </w:num>
  <w:num w:numId="31">
    <w:abstractNumId w:val="25"/>
  </w:num>
  <w:num w:numId="32">
    <w:abstractNumId w:val="11"/>
  </w:num>
  <w:num w:numId="33">
    <w:abstractNumId w:val="2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96"/>
    <w:rsid w:val="000A7DBB"/>
    <w:rsid w:val="000B25C6"/>
    <w:rsid w:val="000B5696"/>
    <w:rsid w:val="000D3709"/>
    <w:rsid w:val="001529B1"/>
    <w:rsid w:val="001F4F95"/>
    <w:rsid w:val="00215BDE"/>
    <w:rsid w:val="0028547D"/>
    <w:rsid w:val="002D616D"/>
    <w:rsid w:val="002E748E"/>
    <w:rsid w:val="00322282"/>
    <w:rsid w:val="003B16A4"/>
    <w:rsid w:val="003C3FF3"/>
    <w:rsid w:val="004A47B9"/>
    <w:rsid w:val="004C5797"/>
    <w:rsid w:val="00507AEB"/>
    <w:rsid w:val="005B1B5D"/>
    <w:rsid w:val="00600507"/>
    <w:rsid w:val="006243F7"/>
    <w:rsid w:val="0067193B"/>
    <w:rsid w:val="0071625B"/>
    <w:rsid w:val="00763081"/>
    <w:rsid w:val="007C387A"/>
    <w:rsid w:val="00835EA8"/>
    <w:rsid w:val="00861EFD"/>
    <w:rsid w:val="00876EDC"/>
    <w:rsid w:val="00A608AE"/>
    <w:rsid w:val="00A8731B"/>
    <w:rsid w:val="00A953DC"/>
    <w:rsid w:val="00AC33C9"/>
    <w:rsid w:val="00B05F8F"/>
    <w:rsid w:val="00CA67E7"/>
    <w:rsid w:val="00CE1F96"/>
    <w:rsid w:val="00D22A40"/>
    <w:rsid w:val="00D51809"/>
    <w:rsid w:val="00DC79C9"/>
    <w:rsid w:val="00E23F99"/>
    <w:rsid w:val="00E278DA"/>
    <w:rsid w:val="00E5113F"/>
    <w:rsid w:val="00E86C40"/>
    <w:rsid w:val="00E870D5"/>
    <w:rsid w:val="00ED2CB9"/>
    <w:rsid w:val="00F2338B"/>
    <w:rsid w:val="00F40BCA"/>
    <w:rsid w:val="00F41088"/>
    <w:rsid w:val="00F447E0"/>
    <w:rsid w:val="00F5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B"/>
  </w:style>
  <w:style w:type="paragraph" w:styleId="2">
    <w:name w:val="heading 2"/>
    <w:basedOn w:val="a"/>
    <w:link w:val="20"/>
    <w:uiPriority w:val="9"/>
    <w:qFormat/>
    <w:rsid w:val="000B5696"/>
    <w:pPr>
      <w:spacing w:after="300"/>
      <w:ind w:left="0" w:firstLine="0"/>
      <w:jc w:val="left"/>
      <w:outlineLvl w:val="1"/>
    </w:pPr>
    <w:rPr>
      <w:rFonts w:ascii="Open Sans" w:eastAsia="Times New Roman" w:hAnsi="Open Sans" w:cs="Times New Roman"/>
      <w:color w:val="1A1612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0B5696"/>
    <w:pPr>
      <w:spacing w:after="435"/>
      <w:ind w:left="0" w:firstLine="0"/>
      <w:jc w:val="left"/>
      <w:outlineLvl w:val="2"/>
    </w:pPr>
    <w:rPr>
      <w:rFonts w:ascii="Open Sans" w:eastAsia="Times New Roman" w:hAnsi="Open Sans" w:cs="Times New Roman"/>
      <w:color w:val="1A161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696"/>
    <w:rPr>
      <w:rFonts w:ascii="Open Sans" w:eastAsia="Times New Roman" w:hAnsi="Open Sans" w:cs="Times New Roman"/>
      <w:color w:val="1A1612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696"/>
    <w:rPr>
      <w:rFonts w:ascii="Open Sans" w:eastAsia="Times New Roman" w:hAnsi="Open Sans" w:cs="Times New Roman"/>
      <w:color w:val="1A1612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B5696"/>
    <w:rPr>
      <w:color w:val="0060FF"/>
      <w:u w:val="single"/>
    </w:rPr>
  </w:style>
  <w:style w:type="paragraph" w:styleId="a4">
    <w:name w:val="Normal (Web)"/>
    <w:basedOn w:val="a"/>
    <w:uiPriority w:val="99"/>
    <w:semiHidden/>
    <w:unhideWhenUsed/>
    <w:rsid w:val="000B5696"/>
    <w:pPr>
      <w:spacing w:after="27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4108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ibank.ru/" TargetMode="External"/><Relationship Id="rId18" Type="http://schemas.openxmlformats.org/officeDocument/2006/relationships/hyperlink" Target="https://www.giban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ibank.ru/" TargetMode="External"/><Relationship Id="rId12" Type="http://schemas.openxmlformats.org/officeDocument/2006/relationships/hyperlink" Target="https://www.gibank.ru/" TargetMode="External"/><Relationship Id="rId17" Type="http://schemas.openxmlformats.org/officeDocument/2006/relationships/hyperlink" Target="https://www.giba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br.ru/Reception/" TargetMode="External"/><Relationship Id="rId20" Type="http://schemas.openxmlformats.org/officeDocument/2006/relationships/hyperlink" Target="https://www.giban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nk@gibank.ru" TargetMode="External"/><Relationship Id="rId11" Type="http://schemas.openxmlformats.org/officeDocument/2006/relationships/hyperlink" Target="https://cbr.ru/" TargetMode="External"/><Relationship Id="rId5" Type="http://schemas.openxmlformats.org/officeDocument/2006/relationships/hyperlink" Target="https://www.gibank.ru/Business-card/" TargetMode="External"/><Relationship Id="rId15" Type="http://schemas.openxmlformats.org/officeDocument/2006/relationships/hyperlink" Target="https://cbr.ru/contacts/" TargetMode="External"/><Relationship Id="rId10" Type="http://schemas.openxmlformats.org/officeDocument/2006/relationships/hyperlink" Target="https://naufor.ru/tree.asp?n=16042" TargetMode="External"/><Relationship Id="rId19" Type="http://schemas.openxmlformats.org/officeDocument/2006/relationships/hyperlink" Target="https://www.gi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for.ru/" TargetMode="External"/><Relationship Id="rId14" Type="http://schemas.openxmlformats.org/officeDocument/2006/relationships/hyperlink" Target="https://naufo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11</cp:revision>
  <cp:lastPrinted>2019-12-02T12:26:00Z</cp:lastPrinted>
  <dcterms:created xsi:type="dcterms:W3CDTF">2019-11-26T06:49:00Z</dcterms:created>
  <dcterms:modified xsi:type="dcterms:W3CDTF">2019-12-02T12:45:00Z</dcterms:modified>
</cp:coreProperties>
</file>