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C50E1"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67310</wp:posOffset>
            </wp:positionV>
            <wp:extent cx="2009775" cy="1086016"/>
            <wp:effectExtent l="19050" t="0" r="9525" b="0"/>
            <wp:wrapNone/>
            <wp:docPr id="2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87" cy="108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A704F" w:rsidRPr="00AC50E1" w:rsidRDefault="00AA704F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A3905" w:rsidRPr="001A3905" w:rsidRDefault="002E5B47" w:rsidP="001A3905">
      <w:pPr>
        <w:tabs>
          <w:tab w:val="left" w:pos="6237"/>
          <w:tab w:val="left" w:pos="6379"/>
          <w:tab w:val="left" w:pos="8232"/>
        </w:tabs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3905" w:rsidRPr="001A3905">
        <w:rPr>
          <w:rFonts w:ascii="Times New Roman" w:hAnsi="Times New Roman" w:cs="Times New Roman"/>
          <w:b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3905" w:rsidRPr="001A3905" w:rsidRDefault="002E5B47" w:rsidP="001A3905">
      <w:pPr>
        <w:tabs>
          <w:tab w:val="left" w:pos="6237"/>
        </w:tabs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3905" w:rsidRPr="001A3905">
        <w:rPr>
          <w:rFonts w:ascii="Times New Roman" w:hAnsi="Times New Roman" w:cs="Times New Roman"/>
          <w:b/>
          <w:sz w:val="24"/>
          <w:szCs w:val="24"/>
        </w:rPr>
        <w:t xml:space="preserve">решением Совета директоров </w:t>
      </w:r>
    </w:p>
    <w:p w:rsidR="001A3905" w:rsidRPr="001A3905" w:rsidRDefault="002E5B47" w:rsidP="001A3905">
      <w:pPr>
        <w:tabs>
          <w:tab w:val="left" w:pos="6237"/>
        </w:tabs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3905" w:rsidRPr="001A3905">
        <w:rPr>
          <w:rFonts w:ascii="Times New Roman" w:hAnsi="Times New Roman" w:cs="Times New Roman"/>
          <w:b/>
          <w:sz w:val="24"/>
          <w:szCs w:val="24"/>
        </w:rPr>
        <w:t>КБ «Гарант-Инвест» (АО)</w:t>
      </w:r>
    </w:p>
    <w:p w:rsidR="001A3905" w:rsidRPr="001A3905" w:rsidRDefault="002E5B47" w:rsidP="001A3905">
      <w:pPr>
        <w:tabs>
          <w:tab w:val="left" w:pos="6237"/>
        </w:tabs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3905" w:rsidRPr="001A3905">
        <w:rPr>
          <w:rFonts w:ascii="Times New Roman" w:hAnsi="Times New Roman" w:cs="Times New Roman"/>
          <w:b/>
          <w:sz w:val="24"/>
          <w:szCs w:val="24"/>
        </w:rPr>
        <w:t xml:space="preserve">(Протокол </w:t>
      </w:r>
      <w:r w:rsidR="00493F8B" w:rsidRPr="001A3905">
        <w:rPr>
          <w:rFonts w:ascii="Times New Roman" w:hAnsi="Times New Roman" w:cs="Times New Roman"/>
          <w:b/>
          <w:sz w:val="24"/>
          <w:szCs w:val="24"/>
        </w:rPr>
        <w:t>№</w:t>
      </w:r>
      <w:r w:rsidR="00493F8B">
        <w:rPr>
          <w:rFonts w:ascii="Times New Roman" w:hAnsi="Times New Roman" w:cs="Times New Roman"/>
          <w:b/>
          <w:sz w:val="24"/>
          <w:szCs w:val="24"/>
        </w:rPr>
        <w:t>6</w:t>
      </w:r>
      <w:r w:rsidR="00493F8B" w:rsidRPr="001A3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905" w:rsidRPr="001A39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93F8B">
        <w:rPr>
          <w:rFonts w:ascii="Times New Roman" w:hAnsi="Times New Roman" w:cs="Times New Roman"/>
          <w:b/>
          <w:sz w:val="24"/>
          <w:szCs w:val="24"/>
        </w:rPr>
        <w:t>24.02</w:t>
      </w:r>
      <w:r w:rsidR="001A3905" w:rsidRPr="001A3905">
        <w:rPr>
          <w:rFonts w:ascii="Times New Roman" w:hAnsi="Times New Roman" w:cs="Times New Roman"/>
          <w:b/>
          <w:sz w:val="24"/>
          <w:szCs w:val="24"/>
        </w:rPr>
        <w:t>.2021)</w:t>
      </w: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A704F" w:rsidRDefault="002E5B47" w:rsidP="002E5B47">
      <w:pPr>
        <w:pStyle w:val="ConsPlusNormal"/>
        <w:spacing w:after="120"/>
        <w:contextualSpacing/>
        <w:jc w:val="center"/>
        <w:rPr>
          <w:sz w:val="24"/>
          <w:szCs w:val="24"/>
        </w:rPr>
      </w:pPr>
      <w:r w:rsidRPr="000E4DE1">
        <w:rPr>
          <w:sz w:val="24"/>
          <w:szCs w:val="24"/>
        </w:rPr>
        <w:t xml:space="preserve">Стандарт предложения и реализации финансовых инструментов, продуктов и услуг </w:t>
      </w:r>
    </w:p>
    <w:p w:rsidR="002E5B47" w:rsidRPr="000E4DE1" w:rsidRDefault="002E5B47" w:rsidP="002E5B47">
      <w:pPr>
        <w:pStyle w:val="ConsPlusNormal"/>
        <w:spacing w:after="120"/>
        <w:contextualSpacing/>
        <w:jc w:val="center"/>
        <w:rPr>
          <w:sz w:val="24"/>
          <w:szCs w:val="24"/>
        </w:rPr>
      </w:pPr>
      <w:r w:rsidRPr="000E4DE1">
        <w:rPr>
          <w:sz w:val="24"/>
          <w:szCs w:val="24"/>
        </w:rPr>
        <w:t>КБ «Гарант-Инвест» (АО)</w:t>
      </w: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A704F" w:rsidRDefault="00AA704F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AC50E1" w:rsidRDefault="002E5B47" w:rsidP="002E5B4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E5B47" w:rsidRPr="002E5B47" w:rsidRDefault="001A3905" w:rsidP="002E5B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3905">
        <w:rPr>
          <w:rFonts w:ascii="Times New Roman" w:hAnsi="Times New Roman" w:cs="Times New Roman"/>
          <w:b/>
          <w:sz w:val="24"/>
          <w:szCs w:val="24"/>
        </w:rPr>
        <w:t>Москва, 2021 г.</w:t>
      </w:r>
    </w:p>
    <w:p w:rsidR="00691915" w:rsidRPr="005542FD" w:rsidRDefault="001A3905" w:rsidP="00C86DC1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98516942"/>
      <w:r w:rsidRPr="001A390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0"/>
    </w:p>
    <w:p w:rsidR="00691915" w:rsidRPr="005542FD" w:rsidRDefault="001A3905" w:rsidP="00414861">
      <w:pPr>
        <w:pStyle w:val="ConsPlusNormal"/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b w:val="0"/>
          <w:sz w:val="24"/>
          <w:szCs w:val="24"/>
        </w:rPr>
      </w:pPr>
      <w:proofErr w:type="gramStart"/>
      <w:r w:rsidRPr="001A3905">
        <w:rPr>
          <w:b w:val="0"/>
          <w:sz w:val="24"/>
          <w:szCs w:val="24"/>
        </w:rPr>
        <w:t xml:space="preserve">Стандарт </w:t>
      </w:r>
      <w:r w:rsidR="002E5B47">
        <w:rPr>
          <w:b w:val="0"/>
          <w:sz w:val="24"/>
          <w:szCs w:val="24"/>
        </w:rPr>
        <w:t xml:space="preserve">предложения и </w:t>
      </w:r>
      <w:r w:rsidRPr="001A3905">
        <w:rPr>
          <w:b w:val="0"/>
          <w:sz w:val="24"/>
          <w:szCs w:val="24"/>
        </w:rPr>
        <w:t>реализации финансовых инструментов, продуктов и услуг КБ «Гарант-Инвест» (АО) (далее – Стандарт) разработан в соответствии с действующим законодательством Российской Федерации, рекомендациями саморегулируемых организаций, нормативными актами Банка России, информационными письмами и рекомендациями Банка России, адресованными участникам финансового рынка в целях формирования принципов и предложений, направленных на создание в интересах всех участников рынка объективных условий для снижения частоты совершения недобросовестных</w:t>
      </w:r>
      <w:proofErr w:type="gramEnd"/>
      <w:r w:rsidRPr="001A3905">
        <w:rPr>
          <w:b w:val="0"/>
          <w:sz w:val="24"/>
          <w:szCs w:val="24"/>
        </w:rPr>
        <w:t xml:space="preserve"> действий на финансовом рынке, их предотвращения, минимизации негативного влияния </w:t>
      </w:r>
      <w:proofErr w:type="gramStart"/>
      <w:r w:rsidRPr="001A3905">
        <w:rPr>
          <w:b w:val="0"/>
          <w:sz w:val="24"/>
          <w:szCs w:val="24"/>
        </w:rPr>
        <w:t>на</w:t>
      </w:r>
      <w:proofErr w:type="gramEnd"/>
      <w:r w:rsidRPr="001A3905">
        <w:rPr>
          <w:b w:val="0"/>
          <w:sz w:val="24"/>
          <w:szCs w:val="24"/>
        </w:rPr>
        <w:t xml:space="preserve"> развитее </w:t>
      </w:r>
      <w:proofErr w:type="gramStart"/>
      <w:r w:rsidRPr="001A3905">
        <w:rPr>
          <w:b w:val="0"/>
          <w:sz w:val="24"/>
          <w:szCs w:val="24"/>
        </w:rPr>
        <w:t>финансового</w:t>
      </w:r>
      <w:proofErr w:type="gramEnd"/>
      <w:r w:rsidRPr="001A3905">
        <w:rPr>
          <w:b w:val="0"/>
          <w:sz w:val="24"/>
          <w:szCs w:val="24"/>
        </w:rPr>
        <w:t xml:space="preserve"> рынка и обеспечения его стабильности, общими принципами обеспечения защиты прав и законных интересов получателей финансовых услуг, а также с учетом обобщения лучших практик кредитных организаций по предложению и сопровождению финансовых инструментов, продуктов и услуг финансовых организаций.</w:t>
      </w:r>
    </w:p>
    <w:p w:rsidR="00691915" w:rsidRPr="005542FD" w:rsidRDefault="001A3905" w:rsidP="00414861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proofErr w:type="gramStart"/>
      <w:r w:rsidRPr="001A3905">
        <w:rPr>
          <w:b w:val="0"/>
          <w:sz w:val="24"/>
          <w:szCs w:val="24"/>
        </w:rPr>
        <w:t xml:space="preserve">Стандарт устанавливает требования и правила, которыми Банк, его органы управления и работники должны руководствоваться в процессе осуществления деятельности по предложению финансовых инструментов, продуктов и услуг в целях предотвращения недобросовестных практик, обеспечения защиты прав и законных интересов </w:t>
      </w:r>
      <w:r w:rsidR="00047070">
        <w:rPr>
          <w:b w:val="0"/>
          <w:sz w:val="24"/>
          <w:szCs w:val="24"/>
        </w:rPr>
        <w:t>получателей финансовых услуг</w:t>
      </w:r>
      <w:r w:rsidRPr="001A3905">
        <w:rPr>
          <w:b w:val="0"/>
          <w:sz w:val="24"/>
          <w:szCs w:val="24"/>
        </w:rPr>
        <w:t xml:space="preserve">, а также входит в систему документов Банка, регламентирующих принципы корпоративного управления и этики ведения бизнеса. </w:t>
      </w:r>
      <w:proofErr w:type="gramEnd"/>
    </w:p>
    <w:p w:rsidR="00691915" w:rsidRPr="005542FD" w:rsidRDefault="001A3905" w:rsidP="00414861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1A3905">
        <w:rPr>
          <w:b w:val="0"/>
          <w:sz w:val="24"/>
          <w:szCs w:val="24"/>
        </w:rPr>
        <w:t xml:space="preserve">К отношениям по осуществлению отдельных видов деятельности Банка, для которых федеральными законами или нормативными актами Банка России предусмотрены специальные условия их осуществления, положения Стандарта применяются в части, не противоречащей таким законами и нормативным актам, а также базовым и внутренним стандартам </w:t>
      </w:r>
      <w:proofErr w:type="spellStart"/>
      <w:r w:rsidRPr="001A3905">
        <w:rPr>
          <w:b w:val="0"/>
          <w:sz w:val="24"/>
          <w:szCs w:val="24"/>
        </w:rPr>
        <w:t>саморегулируемой</w:t>
      </w:r>
      <w:proofErr w:type="spellEnd"/>
      <w:r w:rsidRPr="001A3905">
        <w:rPr>
          <w:b w:val="0"/>
          <w:sz w:val="24"/>
          <w:szCs w:val="24"/>
        </w:rPr>
        <w:t xml:space="preserve"> организации, членом которой является Банк. Порядок взаимодействия с получателями финансовых услуг в рамках осуществления Банком брокерской деятельности и деятельности по управлению ценными бумагами ввиду особенностей указанных видов </w:t>
      </w:r>
      <w:proofErr w:type="gramStart"/>
      <w:r w:rsidRPr="001A3905">
        <w:rPr>
          <w:b w:val="0"/>
          <w:sz w:val="24"/>
          <w:szCs w:val="24"/>
        </w:rPr>
        <w:t>деятельности</w:t>
      </w:r>
      <w:proofErr w:type="gramEnd"/>
      <w:r w:rsidRPr="001A3905">
        <w:rPr>
          <w:b w:val="0"/>
          <w:sz w:val="24"/>
          <w:szCs w:val="24"/>
        </w:rPr>
        <w:t xml:space="preserve"> в том числе предусмотрен Правилами взаимодействия с получателями финансовых услуг в рамках осуществления брокерской деятельности и деятельности по управлению ценными бумагами КБ «Гарант-Инвест» (АО), разработанными в соответствии с Базовым стандартом защиты прав и интересов физических и юридических </w:t>
      </w:r>
      <w:proofErr w:type="gramStart"/>
      <w:r w:rsidRPr="001A3905">
        <w:rPr>
          <w:b w:val="0"/>
          <w:sz w:val="24"/>
          <w:szCs w:val="24"/>
        </w:rPr>
        <w:t>лиц - получателей финансовых услуг, оказываемых членами саморегулируемых организаций в сфере финансового рынка, объединяющих управляющих (утв</w:t>
      </w:r>
      <w:r w:rsidR="002E5B47">
        <w:rPr>
          <w:b w:val="0"/>
          <w:sz w:val="24"/>
          <w:szCs w:val="24"/>
        </w:rPr>
        <w:t>ержден</w:t>
      </w:r>
      <w:r w:rsidRPr="001A3905">
        <w:rPr>
          <w:b w:val="0"/>
          <w:sz w:val="24"/>
          <w:szCs w:val="24"/>
        </w:rPr>
        <w:t xml:space="preserve"> Банком России, Протокол от 20.12.2018 № КФНП-39),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 (утв</w:t>
      </w:r>
      <w:r w:rsidR="002E5B47">
        <w:rPr>
          <w:b w:val="0"/>
          <w:sz w:val="24"/>
          <w:szCs w:val="24"/>
        </w:rPr>
        <w:t>ержден</w:t>
      </w:r>
      <w:r w:rsidRPr="001A3905">
        <w:rPr>
          <w:b w:val="0"/>
          <w:sz w:val="24"/>
          <w:szCs w:val="24"/>
        </w:rPr>
        <w:t xml:space="preserve"> Банком России, Протокол от 20.12.2018 № КФНП-39).</w:t>
      </w:r>
      <w:proofErr w:type="gramEnd"/>
    </w:p>
    <w:p w:rsidR="00691915" w:rsidRPr="005542FD" w:rsidRDefault="00691915" w:rsidP="005542FD">
      <w:pPr>
        <w:pStyle w:val="ConsPlusNormal"/>
        <w:widowControl w:val="0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Стандарт принят в целях:</w:t>
      </w:r>
    </w:p>
    <w:p w:rsidR="00691915" w:rsidRPr="005542FD" w:rsidRDefault="00691915" w:rsidP="005542FD">
      <w:pPr>
        <w:pStyle w:val="2"/>
        <w:keepNext w:val="0"/>
        <w:keepLines w:val="0"/>
        <w:widowControl w:val="0"/>
        <w:numPr>
          <w:ilvl w:val="0"/>
          <w:numId w:val="24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обеспечения соблюдения и защиты прав и законных интересов получател</w:t>
      </w:r>
      <w:r w:rsidR="002E5B47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услуг;</w:t>
      </w:r>
    </w:p>
    <w:p w:rsidR="00691915" w:rsidRPr="005542FD" w:rsidRDefault="00691915" w:rsidP="005542FD">
      <w:pPr>
        <w:pStyle w:val="2"/>
        <w:keepNext w:val="0"/>
        <w:keepLines w:val="0"/>
        <w:widowControl w:val="0"/>
        <w:numPr>
          <w:ilvl w:val="0"/>
          <w:numId w:val="24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предупреждения недобросовестных практик взаимодействия с получателями финансовых услуг;</w:t>
      </w:r>
    </w:p>
    <w:p w:rsidR="00691915" w:rsidRPr="005542FD" w:rsidRDefault="00691915" w:rsidP="005542FD">
      <w:pPr>
        <w:pStyle w:val="2"/>
        <w:keepNext w:val="0"/>
        <w:keepLines w:val="0"/>
        <w:widowControl w:val="0"/>
        <w:numPr>
          <w:ilvl w:val="0"/>
          <w:numId w:val="24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улучшения качества взаимодействия Банка с получателями финансовых услуг, в том числе не являющимися квалифицированными инвесторами, качества продаж финансовых инструментов, продуктов и услуг (как собственных, так и третьих лиц, распространяемых Банком (при наличии)); </w:t>
      </w:r>
    </w:p>
    <w:p w:rsidR="00691915" w:rsidRPr="005542FD" w:rsidRDefault="00691915" w:rsidP="005542FD">
      <w:pPr>
        <w:pStyle w:val="2"/>
        <w:keepNext w:val="0"/>
        <w:keepLines w:val="0"/>
        <w:widowControl w:val="0"/>
        <w:numPr>
          <w:ilvl w:val="0"/>
          <w:numId w:val="24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повышения информационной открытости рынка финансовых услуг в Российской Федерации, а также повышения уровня финансовой грамотности и информированности получател</w:t>
      </w:r>
      <w:r w:rsidR="002E5B47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финансовых услуг о деятельности Банка и о содержании его финансовых услуг в частности;</w:t>
      </w:r>
    </w:p>
    <w:p w:rsidR="00691915" w:rsidRPr="005542FD" w:rsidRDefault="00691915" w:rsidP="005542FD">
      <w:pPr>
        <w:pStyle w:val="2"/>
        <w:keepNext w:val="0"/>
        <w:keepLines w:val="0"/>
        <w:widowControl w:val="0"/>
        <w:numPr>
          <w:ilvl w:val="0"/>
          <w:numId w:val="24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формирования и поддержания положительного имиджа Банка, обеспечения доверия населения к банковской системе Российской Федерации в целом.</w:t>
      </w:r>
    </w:p>
    <w:p w:rsidR="00691915" w:rsidRPr="005542FD" w:rsidRDefault="00691915" w:rsidP="00414861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bookmarkStart w:id="1" w:name="_Toc498516945"/>
      <w:r w:rsidRPr="005542FD">
        <w:rPr>
          <w:b w:val="0"/>
          <w:sz w:val="24"/>
          <w:szCs w:val="24"/>
        </w:rPr>
        <w:t>Для целей Стандарта используются следующие основные понятия:</w:t>
      </w:r>
      <w:bookmarkEnd w:id="1"/>
    </w:p>
    <w:p w:rsidR="00691915" w:rsidRPr="005542FD" w:rsidRDefault="00691915" w:rsidP="00414861">
      <w:pPr>
        <w:pStyle w:val="2"/>
        <w:numPr>
          <w:ilvl w:val="0"/>
          <w:numId w:val="26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Банк – КБ «Гарант-Инвест» (АО), оказывающий </w:t>
      </w:r>
      <w:r w:rsidR="00AA704F">
        <w:rPr>
          <w:rFonts w:ascii="Times New Roman" w:hAnsi="Times New Roman" w:cs="Times New Roman"/>
          <w:color w:val="auto"/>
          <w:sz w:val="24"/>
          <w:szCs w:val="24"/>
        </w:rPr>
        <w:t xml:space="preserve">финансовые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услуги на основании имеющихся у него лицензий; </w:t>
      </w:r>
    </w:p>
    <w:p w:rsidR="00691915" w:rsidRPr="005542FD" w:rsidRDefault="00691915" w:rsidP="00414861">
      <w:pPr>
        <w:pStyle w:val="2"/>
        <w:numPr>
          <w:ilvl w:val="0"/>
          <w:numId w:val="26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финансовая услуга – любой финансовый продукт, реализуемый получателям финансовых услуг в соответствии с требованиями законодательства Российской Федерации;</w:t>
      </w:r>
    </w:p>
    <w:p w:rsidR="00691915" w:rsidRPr="005542FD" w:rsidRDefault="00691915" w:rsidP="00414861">
      <w:pPr>
        <w:pStyle w:val="2"/>
        <w:numPr>
          <w:ilvl w:val="0"/>
          <w:numId w:val="26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получатель финансовых услуг –</w:t>
      </w:r>
      <w:r w:rsidR="00FA41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>лицо</w:t>
      </w:r>
      <w:r w:rsidR="00FA4118">
        <w:rPr>
          <w:rFonts w:ascii="Times New Roman" w:hAnsi="Times New Roman" w:cs="Times New Roman"/>
          <w:color w:val="auto"/>
          <w:sz w:val="24"/>
          <w:szCs w:val="24"/>
        </w:rPr>
        <w:t xml:space="preserve"> (юридическое или физическое)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>, обратившееся в Банк с намерением заключить договор оказания финансовых услуг, либо лицо, заключившее договор оказания финансовых услуг, либо лицо, получившее финансовую услугу;</w:t>
      </w:r>
    </w:p>
    <w:p w:rsidR="00691915" w:rsidRPr="005542FD" w:rsidRDefault="00691915" w:rsidP="00414861">
      <w:pPr>
        <w:pStyle w:val="2"/>
        <w:numPr>
          <w:ilvl w:val="0"/>
          <w:numId w:val="26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Структурные подразделения, осуществляющие взаимодействие с получателями финансовых услуг: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Управление сопровождения VIP-клиентов</w:t>
      </w:r>
      <w:r w:rsidR="002E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Управление сопровождения операций (</w:t>
      </w:r>
      <w:proofErr w:type="spellStart"/>
      <w:r w:rsidRPr="005542FD">
        <w:rPr>
          <w:rFonts w:ascii="Times New Roman" w:hAnsi="Times New Roman" w:cs="Times New Roman"/>
          <w:sz w:val="24"/>
          <w:szCs w:val="24"/>
        </w:rPr>
        <w:t>Бэк-офис</w:t>
      </w:r>
      <w:proofErr w:type="spellEnd"/>
      <w:r w:rsidRPr="005542FD">
        <w:rPr>
          <w:rFonts w:ascii="Times New Roman" w:hAnsi="Times New Roman" w:cs="Times New Roman"/>
          <w:sz w:val="24"/>
          <w:szCs w:val="24"/>
        </w:rPr>
        <w:t>)</w:t>
      </w:r>
      <w:r w:rsidR="001A3905" w:rsidRPr="001A3905">
        <w:rPr>
          <w:rFonts w:ascii="Times New Roman" w:hAnsi="Times New Roman" w:cs="Times New Roman"/>
          <w:sz w:val="24"/>
          <w:szCs w:val="24"/>
        </w:rPr>
        <w:t>;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Управление депозитарных операций</w:t>
      </w:r>
      <w:r w:rsidR="002E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Управление ценных бумаг</w:t>
      </w:r>
      <w:r w:rsidR="002E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Кредитное управление</w:t>
      </w:r>
      <w:r w:rsidR="002E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Операционное управление</w:t>
      </w:r>
      <w:r w:rsidR="002E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Управление пластиковых карт</w:t>
      </w:r>
      <w:r w:rsidR="002E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Управление кассовых операций</w:t>
      </w:r>
      <w:r w:rsidR="002E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Управление по работе с клиентами</w:t>
      </w:r>
      <w:r w:rsidR="001A3905" w:rsidRPr="001A3905">
        <w:rPr>
          <w:rFonts w:ascii="Times New Roman" w:hAnsi="Times New Roman" w:cs="Times New Roman"/>
          <w:sz w:val="24"/>
          <w:szCs w:val="24"/>
        </w:rPr>
        <w:t>;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Управление продаж кредитных и депозитных продуктов</w:t>
      </w:r>
      <w:r w:rsidR="001A3905" w:rsidRPr="001A3905">
        <w:rPr>
          <w:rFonts w:ascii="Times New Roman" w:hAnsi="Times New Roman" w:cs="Times New Roman"/>
          <w:sz w:val="24"/>
          <w:szCs w:val="24"/>
        </w:rPr>
        <w:t>;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Управление по привлечению клиентов</w:t>
      </w:r>
      <w:r w:rsidR="002E5B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91915" w:rsidRPr="005542FD" w:rsidRDefault="00691915" w:rsidP="00414861">
      <w:pPr>
        <w:pStyle w:val="a4"/>
        <w:numPr>
          <w:ilvl w:val="0"/>
          <w:numId w:val="27"/>
        </w:numPr>
        <w:spacing w:after="12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Управление банковского обслуживания корпоративных клиентов</w:t>
      </w:r>
      <w:r w:rsidR="002E5B47">
        <w:rPr>
          <w:rFonts w:ascii="Times New Roman" w:hAnsi="Times New Roman" w:cs="Times New Roman"/>
          <w:sz w:val="24"/>
          <w:szCs w:val="24"/>
        </w:rPr>
        <w:t>.</w:t>
      </w:r>
      <w:r w:rsidRPr="00554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1915" w:rsidRPr="005542FD" w:rsidRDefault="00691915" w:rsidP="00C86DC1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98516946"/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>Правила предоставления информации получателям финансовых услуг</w:t>
      </w:r>
      <w:bookmarkStart w:id="3" w:name="_Toc498516947"/>
      <w:bookmarkEnd w:id="2"/>
    </w:p>
    <w:p w:rsidR="00691915" w:rsidRPr="005542FD" w:rsidRDefault="00691915" w:rsidP="00414861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Принципы предоставления информации получателям финансовых услуг.</w:t>
      </w:r>
    </w:p>
    <w:p w:rsidR="00691915" w:rsidRPr="005542FD" w:rsidRDefault="00691915" w:rsidP="00414861">
      <w:pPr>
        <w:pStyle w:val="Default"/>
        <w:ind w:firstLine="567"/>
        <w:jc w:val="both"/>
        <w:rPr>
          <w:color w:val="auto"/>
        </w:rPr>
      </w:pPr>
      <w:r w:rsidRPr="005542FD">
        <w:rPr>
          <w:color w:val="auto"/>
        </w:rPr>
        <w:t>Информация, подлежащая раскрытию Банком, доводится до получателей финансовых услуг в соответствии со следующими принципами:</w:t>
      </w:r>
    </w:p>
    <w:p w:rsidR="00691915" w:rsidRPr="005542FD" w:rsidRDefault="00691915" w:rsidP="00414861">
      <w:pPr>
        <w:pStyle w:val="2"/>
        <w:numPr>
          <w:ilvl w:val="0"/>
          <w:numId w:val="28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на равных правах и в равном объеме для всех получателей и потенциальных получателей финансовых услуг;</w:t>
      </w:r>
    </w:p>
    <w:p w:rsidR="00691915" w:rsidRPr="005542FD" w:rsidRDefault="00691915" w:rsidP="00414861">
      <w:pPr>
        <w:pStyle w:val="2"/>
        <w:numPr>
          <w:ilvl w:val="0"/>
          <w:numId w:val="28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без </w:t>
      </w:r>
      <w:r w:rsidR="002E5B47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дополнительных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затрат или совершения дополнительных действий, не предусмотренных законодательством Российской Федерации, со стороны </w:t>
      </w:r>
      <w:r w:rsidR="00F51BF7" w:rsidRPr="005542F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F51BF7">
        <w:rPr>
          <w:rFonts w:ascii="Times New Roman" w:hAnsi="Times New Roman" w:cs="Times New Roman"/>
          <w:color w:val="auto"/>
          <w:sz w:val="24"/>
          <w:szCs w:val="24"/>
        </w:rPr>
        <w:t>лучателей</w:t>
      </w:r>
      <w:r w:rsidR="00F51BF7"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>финансовых услуг;</w:t>
      </w:r>
    </w:p>
    <w:p w:rsidR="00691915" w:rsidRPr="005542FD" w:rsidRDefault="00691915" w:rsidP="00414861">
      <w:pPr>
        <w:pStyle w:val="2"/>
        <w:numPr>
          <w:ilvl w:val="0"/>
          <w:numId w:val="28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актуальности информации на дату предоставления в соответствии с обстоятельствами, заявленными </w:t>
      </w:r>
      <w:r w:rsidR="00F51BF7" w:rsidRPr="005542F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F51BF7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="00F51BF7"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>финансовых услуг и влияющими на условия договора оказания финансовых услуг;</w:t>
      </w:r>
    </w:p>
    <w:p w:rsidR="00691915" w:rsidRPr="005542FD" w:rsidRDefault="00691915" w:rsidP="00414861">
      <w:pPr>
        <w:pStyle w:val="2"/>
        <w:numPr>
          <w:ilvl w:val="0"/>
          <w:numId w:val="28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в доступной форме, обеспечивающей разъяснение специальных терминов (в случае их наличия, а также, если значение таких терминов не определено в рамках действующего законодательства). При этом не допускается искажение смысла информации, приводящее к неоднозначному толкованию свойств финансовых услуг;</w:t>
      </w:r>
    </w:p>
    <w:p w:rsidR="00691915" w:rsidRPr="005542FD" w:rsidRDefault="00691915" w:rsidP="00414861">
      <w:pPr>
        <w:pStyle w:val="2"/>
        <w:numPr>
          <w:ilvl w:val="0"/>
          <w:numId w:val="28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>в случае предоставления информации на бумажном носителе – с использованием хорошо читаемого шрифта;</w:t>
      </w:r>
    </w:p>
    <w:p w:rsidR="00691915" w:rsidRPr="005542FD" w:rsidRDefault="00691915" w:rsidP="00414861">
      <w:pPr>
        <w:pStyle w:val="2"/>
        <w:numPr>
          <w:ilvl w:val="0"/>
          <w:numId w:val="28"/>
        </w:numPr>
        <w:tabs>
          <w:tab w:val="left" w:pos="993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достаточности информации, позволяющей </w:t>
      </w:r>
      <w:r w:rsidR="00F51BF7" w:rsidRPr="005542F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F51BF7">
        <w:rPr>
          <w:rFonts w:ascii="Times New Roman" w:hAnsi="Times New Roman" w:cs="Times New Roman"/>
          <w:color w:val="auto"/>
          <w:sz w:val="24"/>
          <w:szCs w:val="24"/>
        </w:rPr>
        <w:t>лучателю</w:t>
      </w:r>
      <w:r w:rsidR="00F51BF7" w:rsidRPr="005542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542FD">
        <w:rPr>
          <w:rFonts w:ascii="Times New Roman" w:hAnsi="Times New Roman" w:cs="Times New Roman"/>
          <w:color w:val="auto"/>
          <w:sz w:val="24"/>
          <w:szCs w:val="24"/>
        </w:rPr>
        <w:t>финансовой услуги оценить, является ли предложенная ему финансовая услуга подходящей, исходя из его потребностей, финансового положения, основных характеристик и особенностей финансовой услуги.</w:t>
      </w:r>
    </w:p>
    <w:bookmarkEnd w:id="3"/>
    <w:p w:rsidR="00691915" w:rsidRPr="005542FD" w:rsidRDefault="00691915" w:rsidP="00414861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При предоставлении информации должны учитываться индивидуальные особенности </w:t>
      </w:r>
      <w:r w:rsidR="00FA4118" w:rsidRPr="005542FD">
        <w:rPr>
          <w:b w:val="0"/>
          <w:sz w:val="24"/>
          <w:szCs w:val="24"/>
        </w:rPr>
        <w:t>по</w:t>
      </w:r>
      <w:r w:rsidR="00FA4118">
        <w:rPr>
          <w:b w:val="0"/>
          <w:sz w:val="24"/>
          <w:szCs w:val="24"/>
        </w:rPr>
        <w:t>лучателя</w:t>
      </w:r>
      <w:r w:rsidR="00FA4118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>финансовых услуг, в том числе наличие нарушений зрения, слуха и (или) речи, если Банк был уведомлен о таких особенностях. Банк организует возможность взаимодействия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</w:t>
      </w:r>
      <w:r w:rsidR="00414861" w:rsidRPr="005542FD">
        <w:rPr>
          <w:b w:val="0"/>
          <w:sz w:val="24"/>
          <w:szCs w:val="24"/>
        </w:rPr>
        <w:t xml:space="preserve"> и рекомендациями Банка России</w:t>
      </w:r>
      <w:r w:rsidR="002E5B47">
        <w:rPr>
          <w:b w:val="0"/>
          <w:sz w:val="24"/>
          <w:szCs w:val="24"/>
        </w:rPr>
        <w:t xml:space="preserve">, а также в соответствии с внутренними документами Банка, регламентирующими </w:t>
      </w:r>
      <w:r w:rsidR="00B50017">
        <w:rPr>
          <w:b w:val="0"/>
          <w:sz w:val="24"/>
          <w:szCs w:val="24"/>
        </w:rPr>
        <w:t xml:space="preserve">порядок </w:t>
      </w:r>
      <w:r w:rsidR="002E5B47">
        <w:rPr>
          <w:b w:val="0"/>
          <w:sz w:val="24"/>
          <w:szCs w:val="24"/>
        </w:rPr>
        <w:t>тако</w:t>
      </w:r>
      <w:r w:rsidR="00B50017">
        <w:rPr>
          <w:b w:val="0"/>
          <w:sz w:val="24"/>
          <w:szCs w:val="24"/>
        </w:rPr>
        <w:t>го</w:t>
      </w:r>
      <w:r w:rsidR="002E5B47">
        <w:rPr>
          <w:b w:val="0"/>
          <w:sz w:val="24"/>
          <w:szCs w:val="24"/>
        </w:rPr>
        <w:t xml:space="preserve"> взаимодействи</w:t>
      </w:r>
      <w:r w:rsidR="00B50017">
        <w:rPr>
          <w:b w:val="0"/>
          <w:sz w:val="24"/>
          <w:szCs w:val="24"/>
        </w:rPr>
        <w:t>я</w:t>
      </w:r>
      <w:r w:rsidRPr="005542FD">
        <w:rPr>
          <w:b w:val="0"/>
          <w:sz w:val="24"/>
          <w:szCs w:val="24"/>
        </w:rPr>
        <w:t xml:space="preserve">. Перечень необходимых действий по обеспечению доступа лица с ограниченными </w:t>
      </w:r>
      <w:proofErr w:type="gramStart"/>
      <w:r w:rsidRPr="005542FD">
        <w:rPr>
          <w:b w:val="0"/>
          <w:sz w:val="24"/>
          <w:szCs w:val="24"/>
        </w:rPr>
        <w:t>возможностями к</w:t>
      </w:r>
      <w:proofErr w:type="gramEnd"/>
      <w:r w:rsidRPr="005542FD">
        <w:rPr>
          <w:b w:val="0"/>
          <w:sz w:val="24"/>
          <w:szCs w:val="24"/>
        </w:rPr>
        <w:t xml:space="preserve"> финансовым услугам Банка уточняется непосредственно у данного лица после получения запроса. Банк осуществляет </w:t>
      </w:r>
      <w:r w:rsidRPr="005542FD">
        <w:rPr>
          <w:b w:val="0"/>
          <w:sz w:val="24"/>
          <w:szCs w:val="24"/>
        </w:rPr>
        <w:lastRenderedPageBreak/>
        <w:t>приоритетное обслуживание лиц с ограниченными возможностями, не препятствует присутствию сопровождающего лица при наличии согласия лица с ограниченными возможностями.</w:t>
      </w:r>
    </w:p>
    <w:p w:rsidR="005542FD" w:rsidRPr="006B1984" w:rsidRDefault="006B1984" w:rsidP="005542FD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98516952"/>
      <w:r w:rsidRPr="006B1984">
        <w:rPr>
          <w:rFonts w:ascii="Times New Roman" w:hAnsi="Times New Roman" w:cs="Times New Roman"/>
          <w:b/>
          <w:color w:val="auto"/>
          <w:sz w:val="24"/>
          <w:szCs w:val="24"/>
        </w:rPr>
        <w:t>Информация, предоставляемая</w:t>
      </w:r>
      <w:r w:rsidR="005542FD" w:rsidRPr="006B19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A3905" w:rsidRPr="001A3905">
        <w:rPr>
          <w:rFonts w:ascii="Times New Roman" w:hAnsi="Times New Roman" w:cs="Times New Roman"/>
          <w:b/>
          <w:color w:val="auto"/>
          <w:sz w:val="24"/>
          <w:szCs w:val="24"/>
        </w:rPr>
        <w:t>получателю финансовых услуг</w:t>
      </w:r>
    </w:p>
    <w:p w:rsidR="005542FD" w:rsidRPr="005542FD" w:rsidRDefault="006B1984" w:rsidP="005542FD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Минимальный объем информации, предоставляемый по</w:t>
      </w:r>
      <w:r w:rsidR="00F51BF7">
        <w:rPr>
          <w:b w:val="0"/>
          <w:sz w:val="24"/>
          <w:szCs w:val="24"/>
        </w:rPr>
        <w:t>лучателю</w:t>
      </w:r>
      <w:r>
        <w:rPr>
          <w:b w:val="0"/>
          <w:sz w:val="24"/>
          <w:szCs w:val="24"/>
        </w:rPr>
        <w:t xml:space="preserve"> финансовой услуги</w:t>
      </w:r>
      <w:r w:rsidR="005542FD" w:rsidRPr="005542FD">
        <w:rPr>
          <w:b w:val="0"/>
          <w:sz w:val="24"/>
          <w:szCs w:val="24"/>
        </w:rPr>
        <w:t xml:space="preserve">: </w:t>
      </w:r>
    </w:p>
    <w:p w:rsidR="005542FD" w:rsidRPr="005542FD" w:rsidRDefault="005542FD" w:rsidP="00D94396">
      <w:pPr>
        <w:pStyle w:val="ConsPlusNormal"/>
        <w:numPr>
          <w:ilvl w:val="0"/>
          <w:numId w:val="32"/>
        </w:numPr>
        <w:tabs>
          <w:tab w:val="left" w:pos="851"/>
        </w:tabs>
        <w:ind w:left="567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те</w:t>
      </w:r>
      <w:proofErr w:type="gramStart"/>
      <w:r w:rsidRPr="005542FD">
        <w:rPr>
          <w:b w:val="0"/>
          <w:sz w:val="24"/>
          <w:szCs w:val="24"/>
        </w:rPr>
        <w:t>кст Ст</w:t>
      </w:r>
      <w:proofErr w:type="gramEnd"/>
      <w:r w:rsidRPr="005542FD">
        <w:rPr>
          <w:b w:val="0"/>
          <w:sz w:val="24"/>
          <w:szCs w:val="24"/>
        </w:rPr>
        <w:t xml:space="preserve">андарта; </w:t>
      </w:r>
    </w:p>
    <w:p w:rsidR="005542FD" w:rsidRPr="005542FD" w:rsidRDefault="005542FD" w:rsidP="00D94396">
      <w:pPr>
        <w:pStyle w:val="ConsPlusNormal"/>
        <w:numPr>
          <w:ilvl w:val="0"/>
          <w:numId w:val="32"/>
        </w:numPr>
        <w:tabs>
          <w:tab w:val="left" w:pos="851"/>
        </w:tabs>
        <w:ind w:left="567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информаци</w:t>
      </w:r>
      <w:r w:rsidR="00D94396">
        <w:rPr>
          <w:b w:val="0"/>
          <w:sz w:val="24"/>
          <w:szCs w:val="24"/>
        </w:rPr>
        <w:t>я</w:t>
      </w:r>
      <w:r w:rsidRPr="005542FD">
        <w:rPr>
          <w:b w:val="0"/>
          <w:sz w:val="24"/>
          <w:szCs w:val="24"/>
        </w:rPr>
        <w:t xml:space="preserve"> о полном и сокращенном наименовании </w:t>
      </w:r>
      <w:r w:rsidR="00D94396">
        <w:rPr>
          <w:b w:val="0"/>
          <w:sz w:val="24"/>
          <w:szCs w:val="24"/>
        </w:rPr>
        <w:t>Банка</w:t>
      </w:r>
      <w:r w:rsidRPr="005542FD">
        <w:rPr>
          <w:b w:val="0"/>
          <w:sz w:val="24"/>
          <w:szCs w:val="24"/>
        </w:rPr>
        <w:t xml:space="preserve">; </w:t>
      </w:r>
    </w:p>
    <w:p w:rsidR="005542FD" w:rsidRPr="005542FD" w:rsidRDefault="005542FD" w:rsidP="00D94396">
      <w:pPr>
        <w:pStyle w:val="ConsPlusNormal"/>
        <w:numPr>
          <w:ilvl w:val="0"/>
          <w:numId w:val="32"/>
        </w:numPr>
        <w:tabs>
          <w:tab w:val="left" w:pos="851"/>
        </w:tabs>
        <w:ind w:left="567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информаци</w:t>
      </w:r>
      <w:r w:rsidR="00D94396">
        <w:rPr>
          <w:b w:val="0"/>
          <w:sz w:val="24"/>
          <w:szCs w:val="24"/>
        </w:rPr>
        <w:t>я</w:t>
      </w:r>
      <w:r w:rsidRPr="005542FD">
        <w:rPr>
          <w:b w:val="0"/>
          <w:sz w:val="24"/>
          <w:szCs w:val="24"/>
        </w:rPr>
        <w:t xml:space="preserve"> о номере и дате выдачи лицензии</w:t>
      </w:r>
      <w:r w:rsidR="00D94396">
        <w:rPr>
          <w:b w:val="0"/>
          <w:sz w:val="24"/>
          <w:szCs w:val="24"/>
        </w:rPr>
        <w:t xml:space="preserve"> Банка</w:t>
      </w:r>
      <w:r w:rsidRPr="005542FD">
        <w:rPr>
          <w:b w:val="0"/>
          <w:sz w:val="24"/>
          <w:szCs w:val="24"/>
        </w:rPr>
        <w:t xml:space="preserve">; </w:t>
      </w:r>
    </w:p>
    <w:p w:rsidR="005542FD" w:rsidRPr="005542FD" w:rsidRDefault="005542FD" w:rsidP="00D94396">
      <w:pPr>
        <w:pStyle w:val="ConsPlusNormal"/>
        <w:numPr>
          <w:ilvl w:val="0"/>
          <w:numId w:val="32"/>
        </w:numPr>
        <w:tabs>
          <w:tab w:val="left" w:pos="851"/>
        </w:tabs>
        <w:ind w:left="567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информаци</w:t>
      </w:r>
      <w:r w:rsidR="00D94396">
        <w:rPr>
          <w:b w:val="0"/>
          <w:sz w:val="24"/>
          <w:szCs w:val="24"/>
        </w:rPr>
        <w:t>я</w:t>
      </w:r>
      <w:r w:rsidRPr="005542FD">
        <w:rPr>
          <w:b w:val="0"/>
          <w:sz w:val="24"/>
          <w:szCs w:val="24"/>
        </w:rPr>
        <w:t xml:space="preserve"> об адресе </w:t>
      </w:r>
      <w:r w:rsidR="00D94396">
        <w:rPr>
          <w:b w:val="0"/>
          <w:sz w:val="24"/>
          <w:szCs w:val="24"/>
        </w:rPr>
        <w:t>Банка</w:t>
      </w:r>
      <w:r w:rsidRPr="005542FD">
        <w:rPr>
          <w:b w:val="0"/>
          <w:sz w:val="24"/>
          <w:szCs w:val="24"/>
        </w:rPr>
        <w:t xml:space="preserve">, о контактном телефоне, об адресе официального сайта; </w:t>
      </w:r>
    </w:p>
    <w:p w:rsidR="005542FD" w:rsidRPr="005542FD" w:rsidRDefault="005542FD" w:rsidP="00D9439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информаци</w:t>
      </w:r>
      <w:r w:rsidR="00D94396">
        <w:rPr>
          <w:rFonts w:ascii="Times New Roman" w:hAnsi="Times New Roman" w:cs="Times New Roman"/>
          <w:sz w:val="24"/>
          <w:szCs w:val="24"/>
        </w:rPr>
        <w:t>я</w:t>
      </w:r>
      <w:r w:rsidRPr="005542FD">
        <w:rPr>
          <w:rFonts w:ascii="Times New Roman" w:hAnsi="Times New Roman" w:cs="Times New Roman"/>
          <w:sz w:val="24"/>
          <w:szCs w:val="24"/>
        </w:rPr>
        <w:t xml:space="preserve"> о перечне осуществляемых </w:t>
      </w:r>
      <w:r w:rsidR="00D94396"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5542FD">
        <w:rPr>
          <w:rFonts w:ascii="Times New Roman" w:hAnsi="Times New Roman" w:cs="Times New Roman"/>
          <w:sz w:val="24"/>
          <w:szCs w:val="24"/>
        </w:rPr>
        <w:t>вид</w:t>
      </w:r>
      <w:r w:rsidR="00D94396">
        <w:rPr>
          <w:rFonts w:ascii="Times New Roman" w:hAnsi="Times New Roman" w:cs="Times New Roman"/>
          <w:sz w:val="24"/>
          <w:szCs w:val="24"/>
        </w:rPr>
        <w:t>ов</w:t>
      </w:r>
      <w:r w:rsidRPr="005542FD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5542FD" w:rsidRPr="005542FD" w:rsidRDefault="005542FD" w:rsidP="00D9439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информаци</w:t>
      </w:r>
      <w:r w:rsidR="00D94396">
        <w:rPr>
          <w:rFonts w:ascii="Times New Roman" w:hAnsi="Times New Roman" w:cs="Times New Roman"/>
          <w:sz w:val="24"/>
          <w:szCs w:val="24"/>
        </w:rPr>
        <w:t>я</w:t>
      </w:r>
      <w:r w:rsidRPr="005542FD">
        <w:rPr>
          <w:rFonts w:ascii="Times New Roman" w:hAnsi="Times New Roman" w:cs="Times New Roman"/>
          <w:sz w:val="24"/>
          <w:szCs w:val="24"/>
        </w:rPr>
        <w:t xml:space="preserve"> об органе, осуществляющем полномочия по контролю и надзору за деятельностью </w:t>
      </w:r>
      <w:r w:rsidR="00D94396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5542FD">
        <w:rPr>
          <w:rFonts w:ascii="Times New Roman" w:hAnsi="Times New Roman" w:cs="Times New Roman"/>
          <w:sz w:val="24"/>
          <w:szCs w:val="24"/>
        </w:rPr>
        <w:t xml:space="preserve">(с указанием ссылки на сайт и официальный адрес); </w:t>
      </w:r>
    </w:p>
    <w:p w:rsidR="005542FD" w:rsidRPr="005542FD" w:rsidRDefault="005542FD" w:rsidP="00D9439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информаци</w:t>
      </w:r>
      <w:r w:rsidR="00D94396">
        <w:rPr>
          <w:rFonts w:ascii="Times New Roman" w:hAnsi="Times New Roman" w:cs="Times New Roman"/>
          <w:sz w:val="24"/>
          <w:szCs w:val="24"/>
        </w:rPr>
        <w:t>я</w:t>
      </w:r>
      <w:r w:rsidRPr="005542FD">
        <w:rPr>
          <w:rFonts w:ascii="Times New Roman" w:hAnsi="Times New Roman" w:cs="Times New Roman"/>
          <w:sz w:val="24"/>
          <w:szCs w:val="24"/>
        </w:rPr>
        <w:t xml:space="preserve"> о способах защиты прав по</w:t>
      </w:r>
      <w:r w:rsidR="00F51BF7">
        <w:rPr>
          <w:rFonts w:ascii="Times New Roman" w:hAnsi="Times New Roman" w:cs="Times New Roman"/>
          <w:sz w:val="24"/>
          <w:szCs w:val="24"/>
        </w:rPr>
        <w:t>лучателей</w:t>
      </w:r>
      <w:r w:rsidRPr="005542FD">
        <w:rPr>
          <w:rFonts w:ascii="Times New Roman" w:hAnsi="Times New Roman" w:cs="Times New Roman"/>
          <w:sz w:val="24"/>
          <w:szCs w:val="24"/>
        </w:rPr>
        <w:t xml:space="preserve"> финансовых услуг, включая информацию о наличии возможности и способах досудебного урегулирования спора, в том числе о праве по</w:t>
      </w:r>
      <w:r w:rsidR="00F51BF7">
        <w:rPr>
          <w:rFonts w:ascii="Times New Roman" w:hAnsi="Times New Roman" w:cs="Times New Roman"/>
          <w:sz w:val="24"/>
          <w:szCs w:val="24"/>
        </w:rPr>
        <w:t>лучателя</w:t>
      </w:r>
      <w:r w:rsidRPr="005542FD">
        <w:rPr>
          <w:rFonts w:ascii="Times New Roman" w:hAnsi="Times New Roman" w:cs="Times New Roman"/>
          <w:sz w:val="24"/>
          <w:szCs w:val="24"/>
        </w:rPr>
        <w:t xml:space="preserve"> финансовой услуги при возникновении спорных ситуаций направить жалобу (обращение) </w:t>
      </w:r>
      <w:r w:rsidR="00D94396">
        <w:rPr>
          <w:rFonts w:ascii="Times New Roman" w:hAnsi="Times New Roman" w:cs="Times New Roman"/>
          <w:sz w:val="24"/>
          <w:szCs w:val="24"/>
        </w:rPr>
        <w:t>в Банк</w:t>
      </w:r>
      <w:r w:rsidRPr="005542FD">
        <w:rPr>
          <w:rFonts w:ascii="Times New Roman" w:hAnsi="Times New Roman" w:cs="Times New Roman"/>
          <w:sz w:val="24"/>
          <w:szCs w:val="24"/>
        </w:rPr>
        <w:t>, Уполномоченному по правам по</w:t>
      </w:r>
      <w:r w:rsidR="00F51BF7">
        <w:rPr>
          <w:rFonts w:ascii="Times New Roman" w:hAnsi="Times New Roman" w:cs="Times New Roman"/>
          <w:sz w:val="24"/>
          <w:szCs w:val="24"/>
        </w:rPr>
        <w:t>требителей</w:t>
      </w:r>
      <w:r w:rsidRPr="005542FD">
        <w:rPr>
          <w:rFonts w:ascii="Times New Roman" w:hAnsi="Times New Roman" w:cs="Times New Roman"/>
          <w:sz w:val="24"/>
          <w:szCs w:val="24"/>
        </w:rPr>
        <w:t xml:space="preserve"> финансовых услуг, в Банк России и (или) </w:t>
      </w:r>
      <w:proofErr w:type="spellStart"/>
      <w:r w:rsidRPr="005542FD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5542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2FD" w:rsidRPr="005542FD" w:rsidRDefault="005542FD" w:rsidP="00D9439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информаци</w:t>
      </w:r>
      <w:r w:rsidR="00D94396">
        <w:rPr>
          <w:rFonts w:ascii="Times New Roman" w:hAnsi="Times New Roman" w:cs="Times New Roman"/>
          <w:sz w:val="24"/>
          <w:szCs w:val="24"/>
        </w:rPr>
        <w:t>я</w:t>
      </w:r>
      <w:r w:rsidRPr="005542FD">
        <w:rPr>
          <w:rFonts w:ascii="Times New Roman" w:hAnsi="Times New Roman" w:cs="Times New Roman"/>
          <w:sz w:val="24"/>
          <w:szCs w:val="24"/>
        </w:rPr>
        <w:t xml:space="preserve"> о полномочиях сотрудников </w:t>
      </w:r>
      <w:r w:rsidR="00D94396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5542FD">
        <w:rPr>
          <w:rFonts w:ascii="Times New Roman" w:hAnsi="Times New Roman" w:cs="Times New Roman"/>
          <w:sz w:val="24"/>
          <w:szCs w:val="24"/>
        </w:rPr>
        <w:t xml:space="preserve">действовать от имени </w:t>
      </w:r>
      <w:r w:rsidR="00D94396">
        <w:rPr>
          <w:rFonts w:ascii="Times New Roman" w:hAnsi="Times New Roman" w:cs="Times New Roman"/>
          <w:sz w:val="24"/>
          <w:szCs w:val="24"/>
        </w:rPr>
        <w:t>Банка</w:t>
      </w:r>
      <w:r w:rsidRPr="005542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4396" w:rsidRPr="00D94396" w:rsidRDefault="005542FD" w:rsidP="00D9439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информаци</w:t>
      </w:r>
      <w:r w:rsidR="00D94396">
        <w:rPr>
          <w:rFonts w:ascii="Times New Roman" w:hAnsi="Times New Roman" w:cs="Times New Roman"/>
          <w:sz w:val="24"/>
          <w:szCs w:val="24"/>
        </w:rPr>
        <w:t>я</w:t>
      </w:r>
      <w:r w:rsidRPr="005542FD">
        <w:rPr>
          <w:rFonts w:ascii="Times New Roman" w:hAnsi="Times New Roman" w:cs="Times New Roman"/>
          <w:sz w:val="24"/>
          <w:szCs w:val="24"/>
        </w:rPr>
        <w:t xml:space="preserve"> о порядке получения финансовой услуги, в том числе о документах, связанных с оказанием финансовой услуги; </w:t>
      </w:r>
    </w:p>
    <w:p w:rsidR="00D94396" w:rsidRDefault="00D94396" w:rsidP="00D9439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96">
        <w:rPr>
          <w:rFonts w:ascii="Times New Roman" w:hAnsi="Times New Roman" w:cs="Times New Roman"/>
          <w:sz w:val="24"/>
          <w:szCs w:val="24"/>
        </w:rPr>
        <w:t>иная информация, доведение которой до сведения по</w:t>
      </w:r>
      <w:r w:rsidR="00F51BF7">
        <w:rPr>
          <w:rFonts w:ascii="Times New Roman" w:hAnsi="Times New Roman" w:cs="Times New Roman"/>
          <w:sz w:val="24"/>
          <w:szCs w:val="24"/>
        </w:rPr>
        <w:t>лучателя</w:t>
      </w:r>
      <w:r w:rsidRPr="00D94396">
        <w:rPr>
          <w:rFonts w:ascii="Times New Roman" w:hAnsi="Times New Roman" w:cs="Times New Roman"/>
          <w:sz w:val="24"/>
          <w:szCs w:val="24"/>
        </w:rPr>
        <w:t xml:space="preserve"> финансовых услуг предусмотрено законодательством Российской Федерации;</w:t>
      </w:r>
    </w:p>
    <w:p w:rsidR="005542FD" w:rsidRPr="00D94396" w:rsidRDefault="00D94396" w:rsidP="00D94396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праве по</w:t>
      </w:r>
      <w:r w:rsidR="00F51BF7">
        <w:rPr>
          <w:rFonts w:ascii="Times New Roman" w:hAnsi="Times New Roman" w:cs="Times New Roman"/>
          <w:sz w:val="24"/>
          <w:szCs w:val="24"/>
        </w:rPr>
        <w:t>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396">
        <w:rPr>
          <w:rFonts w:ascii="Times New Roman" w:hAnsi="Times New Roman" w:cs="Times New Roman"/>
          <w:sz w:val="24"/>
          <w:szCs w:val="24"/>
        </w:rPr>
        <w:t xml:space="preserve">финансовых услуг запрашивать у Банка информацию, указанную в настоящем пункте. </w:t>
      </w:r>
      <w:r w:rsidR="00C40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84" w:rsidRDefault="006B1984" w:rsidP="006B1984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6B1984">
        <w:rPr>
          <w:b w:val="0"/>
          <w:sz w:val="24"/>
          <w:szCs w:val="24"/>
        </w:rPr>
        <w:t xml:space="preserve">Порядок предоставления </w:t>
      </w:r>
      <w:r w:rsidR="00B50017">
        <w:rPr>
          <w:b w:val="0"/>
          <w:sz w:val="24"/>
          <w:szCs w:val="24"/>
        </w:rPr>
        <w:t>Банком</w:t>
      </w:r>
      <w:r w:rsidRPr="006B1984">
        <w:rPr>
          <w:b w:val="0"/>
          <w:sz w:val="24"/>
          <w:szCs w:val="24"/>
        </w:rPr>
        <w:t xml:space="preserve"> информации по</w:t>
      </w:r>
      <w:r w:rsidR="00F51BF7">
        <w:rPr>
          <w:b w:val="0"/>
          <w:sz w:val="24"/>
          <w:szCs w:val="24"/>
        </w:rPr>
        <w:t>лучателям</w:t>
      </w:r>
      <w:r w:rsidRPr="006B1984">
        <w:rPr>
          <w:b w:val="0"/>
          <w:sz w:val="24"/>
          <w:szCs w:val="24"/>
        </w:rPr>
        <w:t xml:space="preserve"> финансовых услуг</w:t>
      </w:r>
      <w:r>
        <w:rPr>
          <w:b w:val="0"/>
          <w:sz w:val="24"/>
          <w:szCs w:val="24"/>
        </w:rPr>
        <w:t>.</w:t>
      </w:r>
    </w:p>
    <w:p w:rsidR="006B1984" w:rsidRDefault="006B1984" w:rsidP="006B1984">
      <w:pPr>
        <w:pStyle w:val="ConsPlusNormal"/>
        <w:tabs>
          <w:tab w:val="left" w:pos="567"/>
        </w:tabs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Банк </w:t>
      </w:r>
      <w:r w:rsidRPr="006B1984">
        <w:rPr>
          <w:b w:val="0"/>
          <w:sz w:val="24"/>
          <w:szCs w:val="24"/>
        </w:rPr>
        <w:t xml:space="preserve">до заключения договора оказания финансовых услуг </w:t>
      </w:r>
      <w:r>
        <w:rPr>
          <w:b w:val="0"/>
          <w:sz w:val="24"/>
          <w:szCs w:val="24"/>
        </w:rPr>
        <w:t xml:space="preserve">предоставляет </w:t>
      </w:r>
      <w:r w:rsidRPr="006B1984">
        <w:rPr>
          <w:b w:val="0"/>
          <w:sz w:val="24"/>
          <w:szCs w:val="24"/>
        </w:rPr>
        <w:t xml:space="preserve">информацию в соответствии с пунктом </w:t>
      </w:r>
      <w:r>
        <w:rPr>
          <w:b w:val="0"/>
          <w:sz w:val="24"/>
          <w:szCs w:val="24"/>
        </w:rPr>
        <w:t>3.</w:t>
      </w:r>
      <w:r w:rsidR="00FA4118">
        <w:rPr>
          <w:b w:val="0"/>
          <w:sz w:val="24"/>
          <w:szCs w:val="24"/>
        </w:rPr>
        <w:t>1</w:t>
      </w:r>
      <w:r w:rsidRPr="006B1984">
        <w:rPr>
          <w:b w:val="0"/>
          <w:sz w:val="24"/>
          <w:szCs w:val="24"/>
        </w:rPr>
        <w:t xml:space="preserve"> Стандарта любому обратившемуся за ней лицу без исключений. </w:t>
      </w:r>
      <w:r>
        <w:rPr>
          <w:b w:val="0"/>
          <w:sz w:val="24"/>
          <w:szCs w:val="24"/>
        </w:rPr>
        <w:t xml:space="preserve">Данная информация </w:t>
      </w:r>
      <w:r w:rsidRPr="006B1984">
        <w:rPr>
          <w:b w:val="0"/>
          <w:sz w:val="24"/>
          <w:szCs w:val="24"/>
        </w:rPr>
        <w:t>предоставляется потенциальному по</w:t>
      </w:r>
      <w:r w:rsidR="00F51BF7">
        <w:rPr>
          <w:b w:val="0"/>
          <w:sz w:val="24"/>
          <w:szCs w:val="24"/>
        </w:rPr>
        <w:t>лучателю</w:t>
      </w:r>
      <w:r w:rsidRPr="006B1984">
        <w:rPr>
          <w:b w:val="0"/>
          <w:sz w:val="24"/>
          <w:szCs w:val="24"/>
        </w:rPr>
        <w:t xml:space="preserve"> финансовых услуг для ознакомления при заключении с ним договора оказания финансовых услуг (при обращении с намерением заключить договор оказания финансовых услуг)</w:t>
      </w:r>
      <w:r w:rsidR="00B50017">
        <w:rPr>
          <w:b w:val="0"/>
          <w:sz w:val="24"/>
          <w:szCs w:val="24"/>
        </w:rPr>
        <w:t>.</w:t>
      </w:r>
    </w:p>
    <w:p w:rsidR="006B1984" w:rsidRDefault="006B1984" w:rsidP="006B198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 </w:t>
      </w:r>
      <w:r w:rsidRPr="006B1984">
        <w:rPr>
          <w:rFonts w:ascii="Times New Roman" w:hAnsi="Times New Roman" w:cs="Times New Roman"/>
          <w:bCs/>
          <w:sz w:val="24"/>
          <w:szCs w:val="24"/>
        </w:rPr>
        <w:t>обязан предоставить по</w:t>
      </w:r>
      <w:r w:rsidR="00F51BF7">
        <w:rPr>
          <w:rFonts w:ascii="Times New Roman" w:hAnsi="Times New Roman" w:cs="Times New Roman"/>
          <w:bCs/>
          <w:sz w:val="24"/>
          <w:szCs w:val="24"/>
        </w:rPr>
        <w:t>лучателю</w:t>
      </w:r>
      <w:r w:rsidRPr="006B1984">
        <w:rPr>
          <w:rFonts w:ascii="Times New Roman" w:hAnsi="Times New Roman" w:cs="Times New Roman"/>
          <w:bCs/>
          <w:sz w:val="24"/>
          <w:szCs w:val="24"/>
        </w:rPr>
        <w:t xml:space="preserve"> финансовых услуг информацию о рисках, связанных с дополнительной финансовой услугой, включая информацию о том, что: </w:t>
      </w:r>
    </w:p>
    <w:p w:rsidR="006B1984" w:rsidRPr="006B1984" w:rsidRDefault="006B1984" w:rsidP="006B1984">
      <w:pPr>
        <w:pStyle w:val="ConsPlusNormal"/>
        <w:numPr>
          <w:ilvl w:val="0"/>
          <w:numId w:val="32"/>
        </w:numPr>
        <w:tabs>
          <w:tab w:val="left" w:pos="851"/>
        </w:tabs>
        <w:ind w:left="567" w:firstLine="0"/>
        <w:jc w:val="both"/>
        <w:rPr>
          <w:b w:val="0"/>
          <w:sz w:val="24"/>
          <w:szCs w:val="24"/>
        </w:rPr>
      </w:pPr>
      <w:r w:rsidRPr="006B1984">
        <w:rPr>
          <w:b w:val="0"/>
          <w:sz w:val="24"/>
          <w:szCs w:val="24"/>
        </w:rPr>
        <w:t xml:space="preserve">дополнительная финансовая услуга носит долгосрочный характер, в </w:t>
      </w:r>
      <w:proofErr w:type="gramStart"/>
      <w:r w:rsidRPr="006B1984">
        <w:rPr>
          <w:b w:val="0"/>
          <w:sz w:val="24"/>
          <w:szCs w:val="24"/>
        </w:rPr>
        <w:t>связи</w:t>
      </w:r>
      <w:proofErr w:type="gramEnd"/>
      <w:r w:rsidRPr="006B1984">
        <w:rPr>
          <w:b w:val="0"/>
          <w:sz w:val="24"/>
          <w:szCs w:val="24"/>
        </w:rPr>
        <w:t xml:space="preserve"> с чем по</w:t>
      </w:r>
      <w:r w:rsidR="00F51BF7">
        <w:rPr>
          <w:b w:val="0"/>
          <w:sz w:val="24"/>
          <w:szCs w:val="24"/>
        </w:rPr>
        <w:t>лучатель</w:t>
      </w:r>
      <w:r w:rsidRPr="006B1984">
        <w:rPr>
          <w:b w:val="0"/>
          <w:sz w:val="24"/>
          <w:szCs w:val="24"/>
        </w:rPr>
        <w:t xml:space="preserve"> финансовых услуг должен будет нести финансовые расходы в течение всего срока исполнения основной банковской услуги; </w:t>
      </w:r>
    </w:p>
    <w:p w:rsidR="006B1984" w:rsidRPr="006B1984" w:rsidRDefault="006B1984" w:rsidP="006B1984">
      <w:pPr>
        <w:pStyle w:val="ConsPlusNormal"/>
        <w:numPr>
          <w:ilvl w:val="0"/>
          <w:numId w:val="32"/>
        </w:numPr>
        <w:tabs>
          <w:tab w:val="left" w:pos="851"/>
        </w:tabs>
        <w:ind w:left="567" w:firstLine="0"/>
        <w:jc w:val="both"/>
        <w:rPr>
          <w:b w:val="0"/>
          <w:sz w:val="24"/>
          <w:szCs w:val="24"/>
        </w:rPr>
      </w:pPr>
      <w:r w:rsidRPr="006B1984">
        <w:rPr>
          <w:b w:val="0"/>
          <w:sz w:val="24"/>
          <w:szCs w:val="24"/>
        </w:rPr>
        <w:t>при досрочном исполнении обязательств по основной банковской услуге возврат по</w:t>
      </w:r>
      <w:r w:rsidR="00F51BF7">
        <w:rPr>
          <w:b w:val="0"/>
          <w:sz w:val="24"/>
          <w:szCs w:val="24"/>
        </w:rPr>
        <w:t>лучателю</w:t>
      </w:r>
      <w:r w:rsidRPr="006B1984">
        <w:rPr>
          <w:b w:val="0"/>
          <w:sz w:val="24"/>
          <w:szCs w:val="24"/>
        </w:rPr>
        <w:t xml:space="preserve"> финансовых услуг денежных средств, уплаченных за предоставление дополнительной финансовой услуги, осуществляется в случае, если это предусмотрено законодательством; </w:t>
      </w:r>
    </w:p>
    <w:p w:rsidR="006B1984" w:rsidRDefault="006B1984" w:rsidP="006B1984">
      <w:pPr>
        <w:pStyle w:val="ConsPlusNormal"/>
        <w:numPr>
          <w:ilvl w:val="0"/>
          <w:numId w:val="32"/>
        </w:numPr>
        <w:tabs>
          <w:tab w:val="left" w:pos="567"/>
          <w:tab w:val="left" w:pos="851"/>
        </w:tabs>
        <w:ind w:left="567" w:firstLine="0"/>
        <w:jc w:val="both"/>
        <w:rPr>
          <w:b w:val="0"/>
          <w:sz w:val="24"/>
          <w:szCs w:val="24"/>
        </w:rPr>
      </w:pPr>
      <w:r w:rsidRPr="006B1984">
        <w:rPr>
          <w:b w:val="0"/>
          <w:sz w:val="24"/>
          <w:szCs w:val="24"/>
        </w:rPr>
        <w:t>при отказе от дополнительной финансовой услуги в период действия основной банковской услуги для по</w:t>
      </w:r>
      <w:r w:rsidR="00F51BF7">
        <w:rPr>
          <w:b w:val="0"/>
          <w:sz w:val="24"/>
          <w:szCs w:val="24"/>
        </w:rPr>
        <w:t>лучателя</w:t>
      </w:r>
      <w:r w:rsidRPr="006B1984">
        <w:rPr>
          <w:b w:val="0"/>
          <w:sz w:val="24"/>
          <w:szCs w:val="24"/>
        </w:rPr>
        <w:t xml:space="preserve"> финансовых услуг могут возникнуть неблагоприятные последствия по основному договору, заключенному с </w:t>
      </w:r>
      <w:r w:rsidR="00B50017">
        <w:rPr>
          <w:b w:val="0"/>
          <w:sz w:val="24"/>
          <w:szCs w:val="24"/>
        </w:rPr>
        <w:t>Банком</w:t>
      </w:r>
      <w:r w:rsidRPr="006B1984">
        <w:rPr>
          <w:b w:val="0"/>
          <w:sz w:val="24"/>
          <w:szCs w:val="24"/>
        </w:rPr>
        <w:t>, в том числе обязанность досрочного исполнения обязательств по основному договору, увеличение размера платы по основному договору и иные меры.</w:t>
      </w:r>
    </w:p>
    <w:p w:rsidR="006B1984" w:rsidRPr="006B1984" w:rsidRDefault="006B1984" w:rsidP="006B1984">
      <w:pPr>
        <w:pStyle w:val="ConsPlusNormal"/>
        <w:spacing w:before="120"/>
        <w:ind w:firstLine="567"/>
        <w:jc w:val="both"/>
        <w:rPr>
          <w:b w:val="0"/>
          <w:sz w:val="24"/>
          <w:szCs w:val="24"/>
        </w:rPr>
      </w:pPr>
      <w:r w:rsidRPr="006B1984">
        <w:rPr>
          <w:b w:val="0"/>
          <w:sz w:val="24"/>
          <w:szCs w:val="24"/>
        </w:rPr>
        <w:t>Информация доводится до по</w:t>
      </w:r>
      <w:r w:rsidR="00F51BF7">
        <w:rPr>
          <w:b w:val="0"/>
          <w:sz w:val="24"/>
          <w:szCs w:val="24"/>
        </w:rPr>
        <w:t>лучателя</w:t>
      </w:r>
      <w:r w:rsidRPr="006B1984">
        <w:rPr>
          <w:b w:val="0"/>
          <w:sz w:val="24"/>
          <w:szCs w:val="24"/>
        </w:rPr>
        <w:t xml:space="preserve"> финансовых услуг в устной, бумажной и (или) электронной форме, в том числе посредством размещения на официальном сайте Банка, а также в личном кабинете по</w:t>
      </w:r>
      <w:r w:rsidR="00F51BF7">
        <w:rPr>
          <w:b w:val="0"/>
          <w:sz w:val="24"/>
          <w:szCs w:val="24"/>
        </w:rPr>
        <w:t>лучателя</w:t>
      </w:r>
      <w:r w:rsidRPr="006B1984">
        <w:rPr>
          <w:b w:val="0"/>
          <w:sz w:val="24"/>
          <w:szCs w:val="24"/>
        </w:rPr>
        <w:t xml:space="preserve"> финансовых услуг (при наличии). Размещение данной информации на официальном </w:t>
      </w:r>
      <w:r w:rsidR="001A3905" w:rsidRPr="001A3905">
        <w:rPr>
          <w:b w:val="0"/>
          <w:sz w:val="24"/>
          <w:szCs w:val="24"/>
          <w:lang w:val="en-US"/>
        </w:rPr>
        <w:t>Web</w:t>
      </w:r>
      <w:r w:rsidR="001A3905" w:rsidRPr="001A3905">
        <w:rPr>
          <w:b w:val="0"/>
          <w:sz w:val="24"/>
          <w:szCs w:val="24"/>
        </w:rPr>
        <w:t>-сайте</w:t>
      </w:r>
      <w:r w:rsidRPr="006B1984">
        <w:rPr>
          <w:b w:val="0"/>
          <w:sz w:val="24"/>
          <w:szCs w:val="24"/>
        </w:rPr>
        <w:t xml:space="preserve"> Банка не исключает предоставление по</w:t>
      </w:r>
      <w:r w:rsidR="00F51BF7">
        <w:rPr>
          <w:b w:val="0"/>
          <w:sz w:val="24"/>
          <w:szCs w:val="24"/>
        </w:rPr>
        <w:t xml:space="preserve">лучателю </w:t>
      </w:r>
      <w:r w:rsidRPr="006B1984">
        <w:rPr>
          <w:b w:val="0"/>
          <w:sz w:val="24"/>
          <w:szCs w:val="24"/>
        </w:rPr>
        <w:t xml:space="preserve">финансовых услуг указанной информации </w:t>
      </w:r>
      <w:proofErr w:type="gramStart"/>
      <w:r w:rsidRPr="006B1984">
        <w:rPr>
          <w:b w:val="0"/>
          <w:sz w:val="24"/>
          <w:szCs w:val="24"/>
        </w:rPr>
        <w:t>по его запросу в удобной для него форме при личном взаимодействии с представителем</w:t>
      </w:r>
      <w:proofErr w:type="gramEnd"/>
      <w:r w:rsidRPr="006B1984">
        <w:rPr>
          <w:b w:val="0"/>
          <w:sz w:val="24"/>
          <w:szCs w:val="24"/>
        </w:rPr>
        <w:t xml:space="preserve"> Банка. </w:t>
      </w:r>
    </w:p>
    <w:p w:rsidR="006B1984" w:rsidRPr="006B1984" w:rsidRDefault="006B1984" w:rsidP="006B198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984">
        <w:rPr>
          <w:rFonts w:ascii="Times New Roman" w:hAnsi="Times New Roman" w:cs="Times New Roman"/>
          <w:sz w:val="24"/>
          <w:szCs w:val="24"/>
        </w:rPr>
        <w:t xml:space="preserve">Информация, размещенная на официальном </w:t>
      </w:r>
      <w:r w:rsidR="002775A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2775A2">
        <w:rPr>
          <w:rFonts w:ascii="Times New Roman" w:hAnsi="Times New Roman" w:cs="Times New Roman"/>
          <w:sz w:val="24"/>
          <w:szCs w:val="24"/>
        </w:rPr>
        <w:t>-</w:t>
      </w:r>
      <w:r w:rsidRPr="006B1984">
        <w:rPr>
          <w:rFonts w:ascii="Times New Roman" w:hAnsi="Times New Roman" w:cs="Times New Roman"/>
          <w:sz w:val="24"/>
          <w:szCs w:val="24"/>
        </w:rPr>
        <w:t>сайте</w:t>
      </w:r>
      <w:r w:rsidR="00B50017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6B1984">
        <w:rPr>
          <w:rFonts w:ascii="Times New Roman" w:hAnsi="Times New Roman" w:cs="Times New Roman"/>
          <w:sz w:val="24"/>
          <w:szCs w:val="24"/>
        </w:rPr>
        <w:t>, должна быть круглосуточно и бесплатно доступна по</w:t>
      </w:r>
      <w:r w:rsidR="00F51BF7">
        <w:rPr>
          <w:rFonts w:ascii="Times New Roman" w:hAnsi="Times New Roman" w:cs="Times New Roman"/>
          <w:sz w:val="24"/>
          <w:szCs w:val="24"/>
        </w:rPr>
        <w:t>лучателю</w:t>
      </w:r>
      <w:r w:rsidRPr="006B1984">
        <w:rPr>
          <w:rFonts w:ascii="Times New Roman" w:hAnsi="Times New Roman" w:cs="Times New Roman"/>
          <w:sz w:val="24"/>
          <w:szCs w:val="24"/>
        </w:rPr>
        <w:t xml:space="preserve"> финансовых услуг для ознакомления и </w:t>
      </w:r>
      <w:r w:rsidRPr="006B198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использования. </w:t>
      </w:r>
      <w:proofErr w:type="gramStart"/>
      <w:r w:rsidRPr="006B1984">
        <w:rPr>
          <w:rFonts w:ascii="Times New Roman" w:hAnsi="Times New Roman" w:cs="Times New Roman"/>
          <w:sz w:val="24"/>
          <w:szCs w:val="24"/>
        </w:rPr>
        <w:t xml:space="preserve">Информация, размещенная на официальном </w:t>
      </w:r>
      <w:r w:rsidR="002775A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2775A2">
        <w:rPr>
          <w:rFonts w:ascii="Times New Roman" w:hAnsi="Times New Roman" w:cs="Times New Roman"/>
          <w:sz w:val="24"/>
          <w:szCs w:val="24"/>
        </w:rPr>
        <w:t>-</w:t>
      </w:r>
      <w:r w:rsidR="002775A2" w:rsidRPr="006B1984">
        <w:rPr>
          <w:rFonts w:ascii="Times New Roman" w:hAnsi="Times New Roman" w:cs="Times New Roman"/>
          <w:sz w:val="24"/>
          <w:szCs w:val="24"/>
        </w:rPr>
        <w:t>сайте</w:t>
      </w:r>
      <w:r w:rsidR="00B50017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6B1984">
        <w:rPr>
          <w:rFonts w:ascii="Times New Roman" w:hAnsi="Times New Roman" w:cs="Times New Roman"/>
          <w:sz w:val="24"/>
          <w:szCs w:val="24"/>
        </w:rPr>
        <w:t>, должна быть доступна по</w:t>
      </w:r>
      <w:r w:rsidR="00F51BF7">
        <w:rPr>
          <w:rFonts w:ascii="Times New Roman" w:hAnsi="Times New Roman" w:cs="Times New Roman"/>
          <w:sz w:val="24"/>
          <w:szCs w:val="24"/>
        </w:rPr>
        <w:t>лучателю</w:t>
      </w:r>
      <w:r w:rsidRPr="006B1984">
        <w:rPr>
          <w:rFonts w:ascii="Times New Roman" w:hAnsi="Times New Roman" w:cs="Times New Roman"/>
          <w:sz w:val="24"/>
          <w:szCs w:val="24"/>
        </w:rPr>
        <w:t xml:space="preserve"> финансовых услуг с использованием бесплатного или широко распространенного программного обеспечения, в том числе информация не должна быть зашифрована или защищена от доступа иными средствами, не позволяющими осуществить ознакомление по</w:t>
      </w:r>
      <w:r w:rsidR="00F51BF7">
        <w:rPr>
          <w:rFonts w:ascii="Times New Roman" w:hAnsi="Times New Roman" w:cs="Times New Roman"/>
          <w:sz w:val="24"/>
          <w:szCs w:val="24"/>
        </w:rPr>
        <w:t>лучателя</w:t>
      </w:r>
      <w:r w:rsidRPr="006B1984">
        <w:rPr>
          <w:rFonts w:ascii="Times New Roman" w:hAnsi="Times New Roman" w:cs="Times New Roman"/>
          <w:sz w:val="24"/>
          <w:szCs w:val="24"/>
        </w:rPr>
        <w:t xml:space="preserve"> финансовых услуг с ее содержанием без использования программного обеспечения или технических средств иных, чем прикладное общедоступное бесплатное программное обеспечение для просмотра</w:t>
      </w:r>
      <w:proofErr w:type="gramEnd"/>
      <w:r w:rsidRPr="006B1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84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6B1984">
        <w:rPr>
          <w:rFonts w:ascii="Times New Roman" w:hAnsi="Times New Roman" w:cs="Times New Roman"/>
          <w:sz w:val="24"/>
          <w:szCs w:val="24"/>
        </w:rPr>
        <w:t xml:space="preserve"> в сети «Интернет» (</w:t>
      </w:r>
      <w:proofErr w:type="spellStart"/>
      <w:r w:rsidRPr="006B1984">
        <w:rPr>
          <w:rFonts w:ascii="Times New Roman" w:hAnsi="Times New Roman" w:cs="Times New Roman"/>
          <w:sz w:val="24"/>
          <w:szCs w:val="24"/>
        </w:rPr>
        <w:t>веб-обозреватель</w:t>
      </w:r>
      <w:proofErr w:type="spellEnd"/>
      <w:r w:rsidRPr="006B1984">
        <w:rPr>
          <w:rFonts w:ascii="Times New Roman" w:hAnsi="Times New Roman" w:cs="Times New Roman"/>
          <w:sz w:val="24"/>
          <w:szCs w:val="24"/>
        </w:rPr>
        <w:t>).</w:t>
      </w:r>
    </w:p>
    <w:p w:rsidR="006B1984" w:rsidRPr="006B1984" w:rsidRDefault="006B1984" w:rsidP="006B198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984">
        <w:rPr>
          <w:rFonts w:ascii="Times New Roman" w:hAnsi="Times New Roman" w:cs="Times New Roman"/>
          <w:sz w:val="24"/>
          <w:szCs w:val="24"/>
        </w:rPr>
        <w:t xml:space="preserve">Доступ к информации, размещенной на официальном </w:t>
      </w:r>
      <w:r w:rsidR="002775A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2775A2">
        <w:rPr>
          <w:rFonts w:ascii="Times New Roman" w:hAnsi="Times New Roman" w:cs="Times New Roman"/>
          <w:sz w:val="24"/>
          <w:szCs w:val="24"/>
        </w:rPr>
        <w:t>-</w:t>
      </w:r>
      <w:r w:rsidR="002775A2" w:rsidRPr="006B1984">
        <w:rPr>
          <w:rFonts w:ascii="Times New Roman" w:hAnsi="Times New Roman" w:cs="Times New Roman"/>
          <w:sz w:val="24"/>
          <w:szCs w:val="24"/>
        </w:rPr>
        <w:t>сайте</w:t>
      </w:r>
      <w:r w:rsidRPr="006B1984">
        <w:rPr>
          <w:rFonts w:ascii="Times New Roman" w:hAnsi="Times New Roman" w:cs="Times New Roman"/>
          <w:sz w:val="24"/>
          <w:szCs w:val="24"/>
        </w:rPr>
        <w:t xml:space="preserve"> Банка (за исключением информации, размещенной в личном кабинете по</w:t>
      </w:r>
      <w:r w:rsidR="00F51BF7">
        <w:rPr>
          <w:rFonts w:ascii="Times New Roman" w:hAnsi="Times New Roman" w:cs="Times New Roman"/>
          <w:sz w:val="24"/>
          <w:szCs w:val="24"/>
        </w:rPr>
        <w:t>лучателя</w:t>
      </w:r>
      <w:r w:rsidRPr="006B1984">
        <w:rPr>
          <w:rFonts w:ascii="Times New Roman" w:hAnsi="Times New Roman" w:cs="Times New Roman"/>
          <w:sz w:val="24"/>
          <w:szCs w:val="24"/>
        </w:rPr>
        <w:t xml:space="preserve"> финансовых услуг), не может быть обусловлен требованием регистрации по</w:t>
      </w:r>
      <w:r w:rsidR="00F51BF7">
        <w:rPr>
          <w:rFonts w:ascii="Times New Roman" w:hAnsi="Times New Roman" w:cs="Times New Roman"/>
          <w:sz w:val="24"/>
          <w:szCs w:val="24"/>
        </w:rPr>
        <w:t>лучателя</w:t>
      </w:r>
      <w:r w:rsidRPr="006B1984">
        <w:rPr>
          <w:rFonts w:ascii="Times New Roman" w:hAnsi="Times New Roman" w:cs="Times New Roman"/>
          <w:sz w:val="24"/>
          <w:szCs w:val="24"/>
        </w:rPr>
        <w:t xml:space="preserve"> финансовых услуг или предоставления им персональных данных. </w:t>
      </w:r>
    </w:p>
    <w:p w:rsidR="006B1984" w:rsidRPr="006B1984" w:rsidRDefault="006B1984" w:rsidP="006B198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984">
        <w:rPr>
          <w:rFonts w:ascii="Times New Roman" w:hAnsi="Times New Roman" w:cs="Times New Roman"/>
          <w:sz w:val="24"/>
          <w:szCs w:val="24"/>
        </w:rPr>
        <w:t xml:space="preserve">В договоре оказания финансовых услуг должен быть определен момент предоставления соответствующей услуги. </w:t>
      </w:r>
    </w:p>
    <w:p w:rsidR="00691915" w:rsidRPr="005542FD" w:rsidRDefault="00691915" w:rsidP="00C86DC1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Взаимодействие работников Банка с </w:t>
      </w:r>
      <w:bookmarkEnd w:id="4"/>
      <w:r w:rsidR="00F51BF7" w:rsidRPr="005542FD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F51BF7">
        <w:rPr>
          <w:rFonts w:ascii="Times New Roman" w:hAnsi="Times New Roman" w:cs="Times New Roman"/>
          <w:b/>
          <w:color w:val="auto"/>
          <w:sz w:val="24"/>
          <w:szCs w:val="24"/>
        </w:rPr>
        <w:t>лучателями</w:t>
      </w:r>
      <w:r w:rsidR="00F51BF7" w:rsidRPr="005542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>финансовых услуг</w:t>
      </w:r>
    </w:p>
    <w:p w:rsidR="00691915" w:rsidRPr="005542FD" w:rsidRDefault="00691915" w:rsidP="00414861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bookmarkStart w:id="5" w:name="_Toc498516953"/>
      <w:r w:rsidRPr="005542FD">
        <w:rPr>
          <w:sz w:val="24"/>
          <w:szCs w:val="24"/>
        </w:rPr>
        <w:t>Способы взаимодействия</w:t>
      </w:r>
      <w:r w:rsidRPr="005542FD">
        <w:rPr>
          <w:b w:val="0"/>
          <w:sz w:val="24"/>
          <w:szCs w:val="24"/>
        </w:rPr>
        <w:t xml:space="preserve"> Банка с </w:t>
      </w:r>
      <w:bookmarkEnd w:id="5"/>
      <w:r w:rsidR="00F51BF7" w:rsidRPr="005542FD">
        <w:rPr>
          <w:b w:val="0"/>
          <w:sz w:val="24"/>
          <w:szCs w:val="24"/>
        </w:rPr>
        <w:t>по</w:t>
      </w:r>
      <w:r w:rsidR="00F51BF7">
        <w:rPr>
          <w:b w:val="0"/>
          <w:sz w:val="24"/>
          <w:szCs w:val="24"/>
        </w:rPr>
        <w:t>лучателями</w:t>
      </w:r>
      <w:r w:rsidR="00F51BF7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>финансовых услуг</w:t>
      </w:r>
    </w:p>
    <w:p w:rsidR="00691915" w:rsidRPr="005542FD" w:rsidRDefault="00691915" w:rsidP="0041486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Для предоставления информации </w:t>
      </w:r>
      <w:r w:rsidR="00F51BF7" w:rsidRPr="005542FD">
        <w:rPr>
          <w:b w:val="0"/>
          <w:sz w:val="24"/>
          <w:szCs w:val="24"/>
        </w:rPr>
        <w:t>по</w:t>
      </w:r>
      <w:r w:rsidR="00F51BF7">
        <w:rPr>
          <w:b w:val="0"/>
          <w:sz w:val="24"/>
          <w:szCs w:val="24"/>
        </w:rPr>
        <w:t>лучателю</w:t>
      </w:r>
      <w:r w:rsidR="00F51BF7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 xml:space="preserve">финансовых услуг работники Банка обязаны использовать согласованные с </w:t>
      </w:r>
      <w:r w:rsidR="00F51BF7" w:rsidRPr="005542FD">
        <w:rPr>
          <w:b w:val="0"/>
          <w:sz w:val="24"/>
          <w:szCs w:val="24"/>
        </w:rPr>
        <w:t>по</w:t>
      </w:r>
      <w:r w:rsidR="00F51BF7">
        <w:rPr>
          <w:b w:val="0"/>
          <w:sz w:val="24"/>
          <w:szCs w:val="24"/>
        </w:rPr>
        <w:t>лучателем</w:t>
      </w:r>
      <w:r w:rsidR="00F51BF7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>финансовых услуг при заключении договора оказания финансовых услуг способы взаимодействия.</w:t>
      </w:r>
    </w:p>
    <w:p w:rsidR="00691915" w:rsidRPr="005542FD" w:rsidRDefault="00691915" w:rsidP="0041486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Банк обязан обеспечить возможность взаимодействия с </w:t>
      </w:r>
      <w:r w:rsidR="00F51BF7" w:rsidRPr="005542FD">
        <w:rPr>
          <w:b w:val="0"/>
          <w:sz w:val="24"/>
          <w:szCs w:val="24"/>
        </w:rPr>
        <w:t>по</w:t>
      </w:r>
      <w:r w:rsidR="00F51BF7">
        <w:rPr>
          <w:b w:val="0"/>
          <w:sz w:val="24"/>
          <w:szCs w:val="24"/>
        </w:rPr>
        <w:t>лучателем</w:t>
      </w:r>
      <w:r w:rsidR="00F51BF7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>финансовых услуг способами, установленными договором оказания финансовых услуг.</w:t>
      </w:r>
    </w:p>
    <w:p w:rsidR="00691915" w:rsidRPr="005542FD" w:rsidRDefault="00691915" w:rsidP="00414861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bookmarkStart w:id="6" w:name="_Toc498516954"/>
      <w:r w:rsidRPr="005542FD">
        <w:rPr>
          <w:sz w:val="24"/>
          <w:szCs w:val="24"/>
        </w:rPr>
        <w:t>Правила взаимодействия</w:t>
      </w:r>
      <w:r w:rsidRPr="005542FD">
        <w:rPr>
          <w:b w:val="0"/>
          <w:sz w:val="24"/>
          <w:szCs w:val="24"/>
        </w:rPr>
        <w:t xml:space="preserve"> работников Банка с получателями финансовых услуг при заключении, изменении и расторжении договоров </w:t>
      </w:r>
      <w:bookmarkEnd w:id="6"/>
      <w:r w:rsidRPr="005542FD">
        <w:rPr>
          <w:b w:val="0"/>
          <w:sz w:val="24"/>
          <w:szCs w:val="24"/>
        </w:rPr>
        <w:t>оказания финансовых услуг.</w:t>
      </w:r>
    </w:p>
    <w:p w:rsidR="00691915" w:rsidRPr="005542FD" w:rsidRDefault="00691915" w:rsidP="0041486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Получатель финансовых услуг должен быть проинформирован работниками Банка о способах и порядке подачи в Банк заявления о заключении договора оказания финансовых услуг или об ином порядке заключения такого договора с соблюдением правил раздела 2 Стандарта, а также о необходимости ознакомления с правилами и договором оказания финансовых услуг.</w:t>
      </w:r>
    </w:p>
    <w:p w:rsidR="00691915" w:rsidRPr="005542FD" w:rsidRDefault="00691915" w:rsidP="0041486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Работникам Банка запрещается ставить заключение договора оказания финансовых услуг по одному виду финансовой услуги в зависимость от наличия (заключения) договоров оказания иных видов финансовых услуг.</w:t>
      </w:r>
    </w:p>
    <w:p w:rsidR="00691915" w:rsidRPr="005542FD" w:rsidRDefault="00691915" w:rsidP="0041486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Работникам Банка запрещается дискриминация получателей финансовых услуг при заключении договора оказания финансовых услуг. Не является дискриминацией определение условий конкретного договора оказания финансовых услуг с учетом степени риска.</w:t>
      </w:r>
    </w:p>
    <w:p w:rsidR="00691915" w:rsidRPr="005542FD" w:rsidRDefault="00691915" w:rsidP="0041486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При заключении договора оказания финансовых услуг работник Банка обязан убедиться в том, что получател</w:t>
      </w:r>
      <w:r w:rsidR="00B50017">
        <w:rPr>
          <w:b w:val="0"/>
          <w:sz w:val="24"/>
          <w:szCs w:val="24"/>
        </w:rPr>
        <w:t>ю</w:t>
      </w:r>
      <w:r w:rsidRPr="005542FD">
        <w:rPr>
          <w:b w:val="0"/>
          <w:sz w:val="24"/>
          <w:szCs w:val="24"/>
        </w:rPr>
        <w:t xml:space="preserve"> финансовых услуг понятны условия этого договора (включая ограничения, связанные с досрочным отказом от договора оказания финансовых услуг). Эта обязанность может быть исполнена Банком путем получения письменного подтверждения этого понимания от получателя финансовых услуг, в том числе путем проставления отметок или подписи в анкете, заявлении, договоре, иных формах или документах. Банк вправе осуществлять ауди</w:t>
      </w:r>
      <w:proofErr w:type="gramStart"/>
      <w:r w:rsidRPr="005542FD">
        <w:rPr>
          <w:b w:val="0"/>
          <w:sz w:val="24"/>
          <w:szCs w:val="24"/>
        </w:rPr>
        <w:t>о-</w:t>
      </w:r>
      <w:proofErr w:type="gramEnd"/>
      <w:r w:rsidRPr="005542FD">
        <w:rPr>
          <w:b w:val="0"/>
          <w:sz w:val="24"/>
          <w:szCs w:val="24"/>
        </w:rPr>
        <w:t xml:space="preserve"> и (или) видеозапись взаимодействия с получателем финансовых услуг</w:t>
      </w:r>
      <w:r w:rsidR="00407FAD">
        <w:rPr>
          <w:b w:val="0"/>
          <w:sz w:val="24"/>
          <w:szCs w:val="24"/>
        </w:rPr>
        <w:t xml:space="preserve"> при наличии</w:t>
      </w:r>
      <w:r w:rsidR="001A3905" w:rsidRPr="001A3905">
        <w:rPr>
          <w:b w:val="0"/>
          <w:sz w:val="24"/>
          <w:szCs w:val="24"/>
        </w:rPr>
        <w:t xml:space="preserve"> </w:t>
      </w:r>
      <w:r w:rsidR="00407FAD">
        <w:rPr>
          <w:b w:val="0"/>
          <w:sz w:val="24"/>
          <w:szCs w:val="24"/>
        </w:rPr>
        <w:t xml:space="preserve">его </w:t>
      </w:r>
      <w:r w:rsidR="001A3905" w:rsidRPr="001A3905">
        <w:rPr>
          <w:b w:val="0"/>
          <w:sz w:val="24"/>
          <w:szCs w:val="24"/>
        </w:rPr>
        <w:t>согласия</w:t>
      </w:r>
      <w:r w:rsidRPr="005542FD">
        <w:rPr>
          <w:b w:val="0"/>
          <w:sz w:val="24"/>
          <w:szCs w:val="24"/>
        </w:rPr>
        <w:t xml:space="preserve">. </w:t>
      </w:r>
    </w:p>
    <w:p w:rsidR="00691915" w:rsidRPr="005542FD" w:rsidRDefault="00691915" w:rsidP="0041486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В случае расторжения договора оказания финансовой услуги или отказа получателя финансовой услуги от договора Банк обязан принять заявление получателя финансовой услуги о таком намерении и осуществить все необходимые действия в соответствии с утвержденными документами и регламентами.</w:t>
      </w:r>
    </w:p>
    <w:p w:rsidR="00691915" w:rsidRPr="005542FD" w:rsidRDefault="00691915" w:rsidP="0041486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Факт предоставления </w:t>
      </w:r>
      <w:r w:rsidR="00B50017" w:rsidRPr="005542FD">
        <w:rPr>
          <w:b w:val="0"/>
          <w:sz w:val="24"/>
          <w:szCs w:val="24"/>
        </w:rPr>
        <w:t xml:space="preserve">Банком </w:t>
      </w:r>
      <w:r w:rsidRPr="005542FD">
        <w:rPr>
          <w:b w:val="0"/>
          <w:sz w:val="24"/>
          <w:szCs w:val="24"/>
        </w:rPr>
        <w:t>получателю финансовых услуг информации и документов (материалов), определяющих условия оказания услуг, может быть зафиксирован любым из следующих способов:</w:t>
      </w:r>
    </w:p>
    <w:p w:rsidR="00691915" w:rsidRPr="005542FD" w:rsidRDefault="00691915" w:rsidP="00C86DC1">
      <w:pPr>
        <w:pStyle w:val="a4"/>
        <w:numPr>
          <w:ilvl w:val="0"/>
          <w:numId w:val="29"/>
        </w:numPr>
        <w:tabs>
          <w:tab w:val="left" w:pos="993"/>
        </w:tabs>
        <w:spacing w:after="12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lastRenderedPageBreak/>
        <w:t>подписью получателя финансовых услуг;</w:t>
      </w:r>
    </w:p>
    <w:p w:rsidR="00691915" w:rsidRPr="005542FD" w:rsidRDefault="00691915" w:rsidP="00C86DC1">
      <w:pPr>
        <w:pStyle w:val="a4"/>
        <w:numPr>
          <w:ilvl w:val="0"/>
          <w:numId w:val="29"/>
        </w:numPr>
        <w:tabs>
          <w:tab w:val="left" w:pos="993"/>
        </w:tabs>
        <w:spacing w:after="12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иным способом, предусмотренным законом или согласованным с получателем финансовых услуг.</w:t>
      </w:r>
    </w:p>
    <w:p w:rsidR="00691915" w:rsidRPr="005542FD" w:rsidRDefault="00691915" w:rsidP="00C86DC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Факт ознакомления потенциального получателя финансовых услуг с информацией, предоставляемой Банком путем размещения на официальном сайте, не требует фиксации.</w:t>
      </w:r>
    </w:p>
    <w:p w:rsidR="00691915" w:rsidRPr="005542FD" w:rsidRDefault="005542FD" w:rsidP="00C86DC1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sz w:val="24"/>
          <w:szCs w:val="24"/>
        </w:rPr>
      </w:pPr>
      <w:bookmarkStart w:id="7" w:name="_Toc498516956"/>
      <w:r w:rsidRPr="005542FD">
        <w:rPr>
          <w:sz w:val="24"/>
          <w:szCs w:val="24"/>
        </w:rPr>
        <w:t xml:space="preserve">Стандарты </w:t>
      </w:r>
      <w:r w:rsidR="00691915" w:rsidRPr="005542FD">
        <w:rPr>
          <w:sz w:val="24"/>
          <w:szCs w:val="24"/>
        </w:rPr>
        <w:t xml:space="preserve">обслуживания </w:t>
      </w:r>
      <w:r w:rsidR="00691915" w:rsidRPr="005542FD">
        <w:rPr>
          <w:b w:val="0"/>
          <w:sz w:val="24"/>
          <w:szCs w:val="24"/>
        </w:rPr>
        <w:t xml:space="preserve">получателей финансовых услуг, касающиеся доступности и материального обеспечения офиса </w:t>
      </w:r>
      <w:bookmarkEnd w:id="7"/>
      <w:r w:rsidR="00691915" w:rsidRPr="005542FD">
        <w:rPr>
          <w:b w:val="0"/>
          <w:sz w:val="24"/>
          <w:szCs w:val="24"/>
        </w:rPr>
        <w:t>Банка</w:t>
      </w:r>
      <w:r w:rsidR="00691915" w:rsidRPr="005542FD">
        <w:rPr>
          <w:sz w:val="24"/>
          <w:szCs w:val="24"/>
        </w:rPr>
        <w:t xml:space="preserve"> </w:t>
      </w:r>
    </w:p>
    <w:p w:rsidR="00691915" w:rsidRPr="005542FD" w:rsidRDefault="00691915" w:rsidP="00C86DC1">
      <w:pPr>
        <w:pStyle w:val="24"/>
        <w:spacing w:before="120"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Банк обеспечивает соблюдение следующих стандартов обслуживания получателей финансовых услуг: </w:t>
      </w:r>
    </w:p>
    <w:p w:rsidR="00691915" w:rsidRPr="005542FD" w:rsidRDefault="00691915" w:rsidP="00C86DC1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размещение, предоставление в офисе Банка информации о реализуемых финансовых инструментах, продуктах и услугах; </w:t>
      </w:r>
    </w:p>
    <w:p w:rsidR="001A3905" w:rsidRDefault="00691915" w:rsidP="001A3905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наличие у работников Банка, взаимодействующих с получателями финансовых услуг, средств визуальной идентификации: визитных карточек (визиток) и/или настольных подставок, и/или </w:t>
      </w:r>
      <w:proofErr w:type="spellStart"/>
      <w:r w:rsidRPr="005542FD">
        <w:rPr>
          <w:rFonts w:ascii="Times New Roman" w:eastAsiaTheme="majorEastAsia" w:hAnsi="Times New Roman" w:cs="Times New Roman"/>
          <w:sz w:val="24"/>
          <w:szCs w:val="24"/>
        </w:rPr>
        <w:t>бейджей</w:t>
      </w:r>
      <w:proofErr w:type="spellEnd"/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, содержащих фамилию, имя и должность работника; </w:t>
      </w:r>
    </w:p>
    <w:p w:rsidR="00691915" w:rsidRPr="005542FD" w:rsidRDefault="00691915" w:rsidP="00C86DC1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соблюдение санитарных и технических правил и норм. </w:t>
      </w:r>
    </w:p>
    <w:p w:rsidR="00691915" w:rsidRPr="005542FD" w:rsidRDefault="00691915" w:rsidP="00C86DC1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bookmarkStart w:id="8" w:name="_Toc498516957"/>
      <w:r w:rsidRPr="005542FD">
        <w:rPr>
          <w:sz w:val="24"/>
          <w:szCs w:val="24"/>
        </w:rPr>
        <w:t>Требования к работникам</w:t>
      </w:r>
      <w:r w:rsidRPr="005542FD">
        <w:rPr>
          <w:b w:val="0"/>
          <w:sz w:val="24"/>
          <w:szCs w:val="24"/>
        </w:rPr>
        <w:t xml:space="preserve"> Банка, осуществляющим непосредственное взаимодействие с получателями финансовых услуг, а также поряд</w:t>
      </w:r>
      <w:r w:rsidR="00B50017">
        <w:rPr>
          <w:b w:val="0"/>
          <w:sz w:val="24"/>
          <w:szCs w:val="24"/>
        </w:rPr>
        <w:t>о</w:t>
      </w:r>
      <w:r w:rsidRPr="005542FD">
        <w:rPr>
          <w:b w:val="0"/>
          <w:sz w:val="24"/>
          <w:szCs w:val="24"/>
        </w:rPr>
        <w:t>к проверки соответствия данных работников требованиям</w:t>
      </w:r>
      <w:bookmarkEnd w:id="8"/>
    </w:p>
    <w:p w:rsidR="00691915" w:rsidRPr="005542FD" w:rsidRDefault="00691915" w:rsidP="00C86DC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Работники Банка, осуществляющие непосредственное взаимодействие с получателями финансовых услуг, обязаны владеть информацией, необходимой для выполнения должностных обязанностей, предусмотренных трудовым договором и внутренними документами Банка, а также уметь в доступной форме предоставить получателю финансовых услуг эту информацию.</w:t>
      </w:r>
    </w:p>
    <w:p w:rsidR="00691915" w:rsidRPr="005542FD" w:rsidRDefault="00691915" w:rsidP="00C86DC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Работники Банка обязаны соблюдать следующие принципы работы с получателями финансовых услуг: </w:t>
      </w:r>
    </w:p>
    <w:p w:rsidR="00691915" w:rsidRPr="005542FD" w:rsidRDefault="00691915" w:rsidP="00C86DC1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оперативно и качественно обслуживать получателя финансовых услуг, общаться с ним тактично, вежливо, доброжелательно;</w:t>
      </w:r>
    </w:p>
    <w:p w:rsidR="00691915" w:rsidRPr="005542FD" w:rsidRDefault="00691915" w:rsidP="00C86DC1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уважать точку зрения получателя услуг вне зависимости от того, разделяет он ее или нет, не навязывать получателю финансовых услуг свою точку зрения, </w:t>
      </w:r>
      <w:r w:rsidR="00733148">
        <w:rPr>
          <w:rFonts w:ascii="Times New Roman" w:eastAsiaTheme="majorEastAsia" w:hAnsi="Times New Roman" w:cs="Times New Roman"/>
          <w:sz w:val="24"/>
          <w:szCs w:val="24"/>
        </w:rPr>
        <w:t xml:space="preserve">не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игнорировать его просьбы, вопросы и замечания;</w:t>
      </w:r>
    </w:p>
    <w:p w:rsidR="00691915" w:rsidRPr="005542FD" w:rsidRDefault="00691915" w:rsidP="00C86DC1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разъяснять в случае необходимости сложные вопросы и профессиональные термины;</w:t>
      </w:r>
    </w:p>
    <w:p w:rsidR="00691915" w:rsidRPr="005542FD" w:rsidRDefault="00691915" w:rsidP="00C86DC1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предпринимать меры к недопущению конфликтных ситуаций с получателем финансовых услуг. </w:t>
      </w:r>
    </w:p>
    <w:p w:rsidR="00691915" w:rsidRPr="005542FD" w:rsidRDefault="00691915" w:rsidP="00C86DC1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Банк обеспечивает необходимый уровень профессионализма работников, осуществляющих взаимодействие с получателями финансовых услуг. В этих целях, а также в целях получения такими работниками всей необходимой информации о соответствующей финансовой услуге (продукте, инструменте) Банк осуществляет обучение таких работников и принимает иные меры, способствующие обеспечению высокого уровня их профессионализма. </w:t>
      </w:r>
    </w:p>
    <w:p w:rsidR="00691915" w:rsidRPr="005542FD" w:rsidRDefault="00691915" w:rsidP="00C86DC1">
      <w:pPr>
        <w:spacing w:before="120" w:after="0" w:line="240" w:lineRule="auto"/>
        <w:ind w:firstLine="56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Обучение работников осуществляется в следующих целях:</w:t>
      </w:r>
    </w:p>
    <w:p w:rsidR="00691915" w:rsidRPr="005542FD" w:rsidRDefault="00691915" w:rsidP="00C86DC1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получение знаний, необходимых для выполнения должностных обязанностей, связанных с взаимодействием с получателями финансовых услуг;</w:t>
      </w:r>
    </w:p>
    <w:p w:rsidR="00691915" w:rsidRPr="005542FD" w:rsidRDefault="00691915" w:rsidP="00C86DC1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обеспечение соблюдения прав и законных интересов получателей финансовых услуг;</w:t>
      </w:r>
    </w:p>
    <w:p w:rsidR="00691915" w:rsidRPr="005542FD" w:rsidRDefault="00691915" w:rsidP="00C86DC1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предупреждение недобросовестных практик взаимодействия Банка с получателями финансовых услуг;</w:t>
      </w:r>
    </w:p>
    <w:p w:rsidR="00691915" w:rsidRPr="005542FD" w:rsidRDefault="00691915" w:rsidP="00C86DC1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повышение информационной открытости рынка финансовых услуг в Российской Федерации, а также повышение уровня финансовой грамотности и информированности получателей финансовых услуг о деятельности Банка;</w:t>
      </w:r>
    </w:p>
    <w:p w:rsidR="00691915" w:rsidRPr="005542FD" w:rsidRDefault="00691915" w:rsidP="00C86DC1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повышение качества финансовых услуг, оказываемых Банком, а также создание условий для эффективного осуществления контролирующими органами </w:t>
      </w:r>
      <w:proofErr w:type="gramStart"/>
      <w:r w:rsidRPr="005542FD">
        <w:rPr>
          <w:rFonts w:ascii="Times New Roman" w:eastAsiaTheme="majorEastAsia" w:hAnsi="Times New Roman" w:cs="Times New Roman"/>
          <w:sz w:val="24"/>
          <w:szCs w:val="24"/>
        </w:rPr>
        <w:t>контроля за</w:t>
      </w:r>
      <w:proofErr w:type="gramEnd"/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 деятельностью Банка.</w:t>
      </w:r>
    </w:p>
    <w:p w:rsidR="00691915" w:rsidRPr="005542FD" w:rsidRDefault="00691915" w:rsidP="00C86DC1">
      <w:pPr>
        <w:pStyle w:val="26"/>
        <w:widowControl w:val="0"/>
        <w:autoSpaceDE w:val="0"/>
        <w:autoSpaceDN w:val="0"/>
        <w:spacing w:before="120"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В качестве методов проведения обучения могут использоваться очные лекции, тренинги, </w:t>
      </w:r>
      <w:r w:rsidRPr="005542FD">
        <w:rPr>
          <w:rFonts w:ascii="Times New Roman" w:hAnsi="Times New Roman" w:cs="Times New Roman"/>
          <w:sz w:val="24"/>
          <w:szCs w:val="24"/>
        </w:rPr>
        <w:lastRenderedPageBreak/>
        <w:t xml:space="preserve">семинары, дистанционные методы обучения, в том числе с применением </w:t>
      </w:r>
      <w:proofErr w:type="spellStart"/>
      <w:proofErr w:type="gramStart"/>
      <w:r w:rsidRPr="005542FD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5542FD">
        <w:rPr>
          <w:rFonts w:ascii="Times New Roman" w:hAnsi="Times New Roman" w:cs="Times New Roman"/>
          <w:sz w:val="24"/>
          <w:szCs w:val="24"/>
        </w:rPr>
        <w:t>, обучение методом самообразования с использованием специализированных обучающих материалов, иные аналогичные методы обучения.</w:t>
      </w:r>
    </w:p>
    <w:p w:rsidR="00691915" w:rsidRPr="005542FD" w:rsidRDefault="00691915" w:rsidP="00C86DC1">
      <w:pPr>
        <w:widowControl w:val="0"/>
        <w:autoSpaceDE w:val="0"/>
        <w:autoSpaceDN w:val="0"/>
        <w:spacing w:before="120" w:after="0" w:line="240" w:lineRule="auto"/>
        <w:ind w:firstLine="567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Обучение работников проводится по мере возникновения необходимости и может предусматривать последующую проверку уровня знаний (квалификации) работников. Проверка уровня знаний может проводиться в виде тестирования либо собеседования. Результаты проверки фиксируются. При выявлении у работника, осуществляющего взаимодействие с получателями финансовых услуг, недостаточного уровня знаний (квалификации) информация доводится до его непосредственного руководителя в целях принятия мер, предусмотренных внутренними документами Банка.</w:t>
      </w:r>
    </w:p>
    <w:p w:rsidR="00691915" w:rsidRPr="005542FD" w:rsidRDefault="00691915" w:rsidP="00C86DC1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Ответственность и контроль</w:t>
      </w:r>
    </w:p>
    <w:p w:rsidR="00691915" w:rsidRPr="005542FD" w:rsidRDefault="00691915" w:rsidP="00C86DC1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Ответственность за текущий контроль исполнения требований Стандарта работниками Банка лежит на руководителях структурных подразделений, осуществляющих взаимодействие с получателями финансовых услуг.  </w:t>
      </w:r>
    </w:p>
    <w:p w:rsidR="00691915" w:rsidRPr="005542FD" w:rsidRDefault="00691915" w:rsidP="00C86DC1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proofErr w:type="gramStart"/>
      <w:r w:rsidRPr="005542FD">
        <w:rPr>
          <w:b w:val="0"/>
          <w:sz w:val="24"/>
          <w:szCs w:val="24"/>
        </w:rPr>
        <w:t>В целях улучшения качества взаимодействия Банка с получателями финансовых услуг, в том числе не являющихся квалифицированными инвесторами, качества продаж финансовых инструментов, продуктов и услуг (как собственных, так и третьих лиц, распространяемых Банком (при наличии)), а также недобросовестного поведения как со стороны Банка в целом, так и со стороны его отдельных сотрудников, в Банке реализована сквозная ответственность менеджмента и органов управления</w:t>
      </w:r>
      <w:proofErr w:type="gramEnd"/>
      <w:r w:rsidRPr="005542FD">
        <w:rPr>
          <w:b w:val="0"/>
          <w:sz w:val="24"/>
          <w:szCs w:val="24"/>
        </w:rPr>
        <w:t xml:space="preserve"> Банка, а именно: </w:t>
      </w:r>
    </w:p>
    <w:p w:rsidR="00691915" w:rsidRPr="005542FD" w:rsidRDefault="00691915" w:rsidP="006919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Председатель Правления, его заместители, руководители структурных подразделений, осуществляющих взаимодействие с получателями финансовых услуг, а также лица, исполняющие их обязанности (далее – Руководство Банка), являются лицами, ответственными за качественное обслуживание получателей финансовых услуг, в том числе неквалифицированных инвесторов. Руководство Банка несет ответственность за качество взаимодействия с получателями финансовых </w:t>
      </w:r>
      <w:proofErr w:type="gramStart"/>
      <w:r w:rsidRPr="005542FD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5542FD">
        <w:rPr>
          <w:rFonts w:ascii="Times New Roman" w:hAnsi="Times New Roman" w:cs="Times New Roman"/>
          <w:sz w:val="24"/>
          <w:szCs w:val="24"/>
        </w:rPr>
        <w:t xml:space="preserve"> и достаточность мер, принимаемых в целях недопущения недобросовестных практик.</w:t>
      </w:r>
    </w:p>
    <w:p w:rsidR="00691915" w:rsidRPr="005542FD" w:rsidRDefault="00691915" w:rsidP="006919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Члены коллегиальных органов Банка несут ответственность за решения </w:t>
      </w:r>
      <w:r w:rsidR="00C43797">
        <w:rPr>
          <w:rFonts w:ascii="Times New Roman" w:hAnsi="Times New Roman" w:cs="Times New Roman"/>
          <w:sz w:val="24"/>
          <w:szCs w:val="24"/>
        </w:rPr>
        <w:t>таких</w:t>
      </w:r>
      <w:r w:rsidRPr="005542FD">
        <w:rPr>
          <w:rFonts w:ascii="Times New Roman" w:hAnsi="Times New Roman" w:cs="Times New Roman"/>
          <w:sz w:val="24"/>
          <w:szCs w:val="24"/>
        </w:rPr>
        <w:t xml:space="preserve"> органов, которыми были ущемлены права получателей финансовых услуг или в их отношении были применены недобросовестные практики, при условии, что члены коллегиального органа голосовали за принятие такого решения.</w:t>
      </w:r>
    </w:p>
    <w:p w:rsidR="00691915" w:rsidRPr="005542FD" w:rsidRDefault="00691915" w:rsidP="00725CA7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Ответственность за реализацию контрольных процедур по оценке качества взаимодействия с получателями финансовых услуг и </w:t>
      </w:r>
      <w:proofErr w:type="gramStart"/>
      <w:r w:rsidRPr="005542FD">
        <w:rPr>
          <w:b w:val="0"/>
          <w:sz w:val="24"/>
          <w:szCs w:val="24"/>
        </w:rPr>
        <w:t>достаточности</w:t>
      </w:r>
      <w:proofErr w:type="gramEnd"/>
      <w:r w:rsidRPr="005542FD">
        <w:rPr>
          <w:b w:val="0"/>
          <w:sz w:val="24"/>
          <w:szCs w:val="24"/>
        </w:rPr>
        <w:t xml:space="preserve"> реализуемых Банком мер по недопущению недобросовестных практик в отношении получателей финансовых услуг, в том числе неквалифицированных инвесторов (далее – контрольные процедуры) возложены на:</w:t>
      </w:r>
    </w:p>
    <w:p w:rsidR="00691915" w:rsidRPr="005542FD" w:rsidRDefault="00691915" w:rsidP="00725CA7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Контролера профессионального участника рынка ценных бумаг (в части взаимодействия с получателями финансовых услуг в рамках осуществляемой Банком профессиональной деятельности на рынке ценных бумаг); </w:t>
      </w:r>
    </w:p>
    <w:p w:rsidR="00691915" w:rsidRPr="005542FD" w:rsidRDefault="00691915" w:rsidP="00725CA7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Начальника Службы внутреннего аудита</w:t>
      </w:r>
      <w:r w:rsidR="00725CA7" w:rsidRPr="005542FD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контрольные процедуры осуществляются в </w:t>
      </w:r>
      <w:r w:rsidR="002D1990">
        <w:rPr>
          <w:rFonts w:ascii="Times New Roman" w:eastAsiaTheme="majorEastAsia" w:hAnsi="Times New Roman" w:cs="Times New Roman"/>
          <w:sz w:val="24"/>
          <w:szCs w:val="24"/>
        </w:rPr>
        <w:t xml:space="preserve">рамках проведения проверок направлений деятельности Банка в 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>соответствии с утвержденным</w:t>
      </w:r>
      <w:r w:rsidR="002D1990">
        <w:rPr>
          <w:rFonts w:ascii="Times New Roman" w:eastAsiaTheme="majorEastAsia" w:hAnsi="Times New Roman" w:cs="Times New Roman"/>
          <w:sz w:val="24"/>
          <w:szCs w:val="24"/>
        </w:rPr>
        <w:t>и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D1990">
        <w:rPr>
          <w:rFonts w:ascii="Times New Roman" w:eastAsiaTheme="majorEastAsia" w:hAnsi="Times New Roman" w:cs="Times New Roman"/>
          <w:sz w:val="24"/>
          <w:szCs w:val="24"/>
        </w:rPr>
        <w:t>Советом директоров Банка планами работы и графиками проверок</w:t>
      </w:r>
      <w:r w:rsidR="00725CA7" w:rsidRPr="005542FD">
        <w:rPr>
          <w:rFonts w:ascii="Times New Roman" w:eastAsiaTheme="majorEastAsia" w:hAnsi="Times New Roman" w:cs="Times New Roman"/>
          <w:sz w:val="24"/>
          <w:szCs w:val="24"/>
        </w:rPr>
        <w:t xml:space="preserve"> на </w:t>
      </w:r>
      <w:r w:rsidR="002D1990">
        <w:rPr>
          <w:rFonts w:ascii="Times New Roman" w:eastAsiaTheme="majorEastAsia" w:hAnsi="Times New Roman" w:cs="Times New Roman"/>
          <w:sz w:val="24"/>
          <w:szCs w:val="24"/>
        </w:rPr>
        <w:t>соответствующий год</w:t>
      </w:r>
      <w:r w:rsidR="00725CA7" w:rsidRPr="005542FD">
        <w:rPr>
          <w:rFonts w:ascii="Times New Roman" w:eastAsiaTheme="majorEastAsia" w:hAnsi="Times New Roman" w:cs="Times New Roman"/>
          <w:sz w:val="24"/>
          <w:szCs w:val="24"/>
        </w:rPr>
        <w:t>);</w:t>
      </w:r>
    </w:p>
    <w:p w:rsidR="00691915" w:rsidRPr="005542FD" w:rsidRDefault="00691915" w:rsidP="00725CA7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Начальника Службы внутреннего контроля</w:t>
      </w:r>
      <w:r w:rsidR="00725CA7" w:rsidRPr="005542FD">
        <w:rPr>
          <w:rFonts w:ascii="Times New Roman" w:eastAsiaTheme="majorEastAsia" w:hAnsi="Times New Roman" w:cs="Times New Roman"/>
          <w:sz w:val="24"/>
          <w:szCs w:val="24"/>
        </w:rPr>
        <w:t xml:space="preserve"> (в части выявления и управления </w:t>
      </w:r>
      <w:proofErr w:type="spellStart"/>
      <w:r w:rsidR="00725CA7" w:rsidRPr="005542FD">
        <w:rPr>
          <w:rFonts w:ascii="Times New Roman" w:eastAsiaTheme="majorEastAsia" w:hAnsi="Times New Roman" w:cs="Times New Roman"/>
          <w:sz w:val="24"/>
          <w:szCs w:val="24"/>
        </w:rPr>
        <w:t>комплаенс-риском</w:t>
      </w:r>
      <w:proofErr w:type="spellEnd"/>
      <w:r w:rsidR="00725CA7" w:rsidRPr="005542FD">
        <w:rPr>
          <w:rFonts w:ascii="Times New Roman" w:eastAsiaTheme="majorEastAsia" w:hAnsi="Times New Roman" w:cs="Times New Roman"/>
          <w:sz w:val="24"/>
          <w:szCs w:val="24"/>
        </w:rPr>
        <w:t xml:space="preserve"> при реализации мер по недопущению недобросовестных практик в отношении получателей финансовых услуг).</w:t>
      </w:r>
    </w:p>
    <w:p w:rsidR="00691915" w:rsidRPr="005542FD" w:rsidRDefault="00691915" w:rsidP="00725CA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Контролер профессионального участника рынка ценных бумаг осуществляет контрольные процедуры не реже одного раза в год. Результат таких процедур отражается в ежеквартальном Отчете контролера, который выносится на рассмотрение и утверждение Совета директоров Банка. </w:t>
      </w:r>
      <w:proofErr w:type="gramStart"/>
      <w:r w:rsidR="00725CA7" w:rsidRPr="005542F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5542FD">
        <w:rPr>
          <w:rFonts w:ascii="Times New Roman" w:hAnsi="Times New Roman" w:cs="Times New Roman"/>
          <w:sz w:val="24"/>
          <w:szCs w:val="24"/>
        </w:rPr>
        <w:t>о результатах контрольных процедур по оценке качества взаимодействия с получателями финансовых услуг в отношении продуктов и услуг, не связанных с осуществлением Банком профессиональной деятельности на рынке ценных бумаг, подготовленная Службой внутреннего аудита, Службой внутреннего контроля</w:t>
      </w:r>
      <w:r w:rsidR="00725CA7" w:rsidRPr="005542FD">
        <w:rPr>
          <w:rFonts w:ascii="Times New Roman" w:hAnsi="Times New Roman" w:cs="Times New Roman"/>
          <w:sz w:val="24"/>
          <w:szCs w:val="24"/>
        </w:rPr>
        <w:t xml:space="preserve">, </w:t>
      </w:r>
      <w:r w:rsidR="00725CA7" w:rsidRPr="005542F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представляется Совету директоров и Правлению Банка в </w:t>
      </w:r>
      <w:r w:rsidR="003F3B22">
        <w:rPr>
          <w:rFonts w:ascii="Times New Roman" w:hAnsi="Times New Roman" w:cs="Times New Roman"/>
          <w:sz w:val="24"/>
          <w:szCs w:val="24"/>
        </w:rPr>
        <w:t>порядке и сроки</w:t>
      </w:r>
      <w:r w:rsidR="00725CA7" w:rsidRPr="005542FD">
        <w:rPr>
          <w:rFonts w:ascii="Times New Roman" w:hAnsi="Times New Roman" w:cs="Times New Roman"/>
          <w:sz w:val="24"/>
          <w:szCs w:val="24"/>
        </w:rPr>
        <w:t>, установленны</w:t>
      </w:r>
      <w:r w:rsidR="003F3B22">
        <w:rPr>
          <w:rFonts w:ascii="Times New Roman" w:hAnsi="Times New Roman" w:cs="Times New Roman"/>
          <w:sz w:val="24"/>
          <w:szCs w:val="24"/>
        </w:rPr>
        <w:t>е</w:t>
      </w:r>
      <w:r w:rsidR="00725CA7" w:rsidRPr="005542FD">
        <w:rPr>
          <w:rFonts w:ascii="Times New Roman" w:hAnsi="Times New Roman" w:cs="Times New Roman"/>
          <w:sz w:val="24"/>
          <w:szCs w:val="24"/>
        </w:rPr>
        <w:t xml:space="preserve"> в отношении представления информации указанными Службами</w:t>
      </w:r>
      <w:r w:rsidRPr="005542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91915" w:rsidRPr="005542FD" w:rsidRDefault="00691915" w:rsidP="00725CA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 xml:space="preserve">При возложении ответственности за реализацию контрольных процедур на Контролера профессионального участника рынка ценных бумаг, Начальника Службы внутреннего аудита, Начальника Службы внутреннего контроля учитываются ограничения, установленные нормативными актами Банка России в отношении деятельности указанных работников/подразделений. </w:t>
      </w:r>
    </w:p>
    <w:p w:rsidR="00691915" w:rsidRPr="005542FD" w:rsidRDefault="00691915" w:rsidP="00725CA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2FD">
        <w:rPr>
          <w:rFonts w:ascii="Times New Roman" w:hAnsi="Times New Roman" w:cs="Times New Roman"/>
          <w:sz w:val="24"/>
          <w:szCs w:val="24"/>
        </w:rPr>
        <w:t>Для оценки и контроля качества взаимодействия работников Банка с получателями финансовых услуг возможно использование следующих методов:</w:t>
      </w:r>
    </w:p>
    <w:p w:rsidR="00691915" w:rsidRPr="005542FD" w:rsidRDefault="00691915" w:rsidP="00725CA7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проведени</w:t>
      </w:r>
      <w:r w:rsidR="003F3B22">
        <w:rPr>
          <w:rFonts w:ascii="Times New Roman" w:eastAsiaTheme="majorEastAsia" w:hAnsi="Times New Roman" w:cs="Times New Roman"/>
          <w:sz w:val="24"/>
          <w:szCs w:val="24"/>
        </w:rPr>
        <w:t>е</w:t>
      </w:r>
      <w:r w:rsidRPr="005542FD">
        <w:rPr>
          <w:rFonts w:ascii="Times New Roman" w:eastAsiaTheme="majorEastAsia" w:hAnsi="Times New Roman" w:cs="Times New Roman"/>
          <w:sz w:val="24"/>
          <w:szCs w:val="24"/>
        </w:rPr>
        <w:t xml:space="preserve"> самооценки соблюдения установленных Банком правил реализации финансовых инструментов, продуктов, предоставления услуг руководителями подразделений, ответственных за взаимодействие с получателями финансовых услуг, на периодической основе;</w:t>
      </w:r>
    </w:p>
    <w:p w:rsidR="00691915" w:rsidRPr="005542FD" w:rsidRDefault="00691915" w:rsidP="00725CA7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введение и последующая оценка опросных листов по качеству предоставляемых услуг, предлагаемых получателям после реализации финансовых инструментов, продуктов и предоставления услуг;</w:t>
      </w:r>
    </w:p>
    <w:p w:rsidR="00691915" w:rsidRPr="005542FD" w:rsidRDefault="00691915" w:rsidP="00725CA7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анализ записей телефонных переговоров, аудио- и видеозаписей взаимодействия работников Банка с получателями финансовых услуг;</w:t>
      </w:r>
      <w:bookmarkStart w:id="9" w:name="_Toc498516958"/>
    </w:p>
    <w:p w:rsidR="00691915" w:rsidRPr="005542FD" w:rsidRDefault="00691915" w:rsidP="00725CA7">
      <w:pPr>
        <w:pStyle w:val="24"/>
        <w:numPr>
          <w:ilvl w:val="0"/>
          <w:numId w:val="3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42FD">
        <w:rPr>
          <w:rFonts w:ascii="Times New Roman" w:eastAsiaTheme="majorEastAsia" w:hAnsi="Times New Roman" w:cs="Times New Roman"/>
          <w:sz w:val="24"/>
          <w:szCs w:val="24"/>
        </w:rPr>
        <w:t>иные методы, позволяющие оценить качество взаимодействия с получателями финансовых услуг.</w:t>
      </w:r>
    </w:p>
    <w:p w:rsidR="00691915" w:rsidRPr="005542FD" w:rsidRDefault="00691915" w:rsidP="00725CA7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>Меры по отношению к лицам, допустившим нарушение внутренних правил и процедур при реализации финансовых услуг</w:t>
      </w:r>
    </w:p>
    <w:p w:rsidR="00691915" w:rsidRPr="005542FD" w:rsidRDefault="00691915" w:rsidP="00725CA7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>К лицам, допустившим нарушение внутренних правил и процедур, регламентирующих предложение финансовых инструментов, продуктов и услуг, применяются меры в соответствии с установленным в Банке порядком</w:t>
      </w:r>
      <w:r w:rsidR="00725CA7" w:rsidRPr="005542FD">
        <w:rPr>
          <w:b w:val="0"/>
          <w:sz w:val="24"/>
          <w:szCs w:val="24"/>
        </w:rPr>
        <w:t>, пр</w:t>
      </w:r>
      <w:r w:rsidR="006F105A" w:rsidRPr="005542FD">
        <w:rPr>
          <w:b w:val="0"/>
          <w:sz w:val="24"/>
          <w:szCs w:val="24"/>
        </w:rPr>
        <w:t xml:space="preserve">едусмотренные </w:t>
      </w:r>
      <w:r w:rsidRPr="005542FD">
        <w:rPr>
          <w:b w:val="0"/>
          <w:sz w:val="24"/>
          <w:szCs w:val="24"/>
        </w:rPr>
        <w:t>Трудовым Кодексом РФ.</w:t>
      </w:r>
    </w:p>
    <w:p w:rsidR="00691915" w:rsidRPr="005542FD" w:rsidRDefault="00691915" w:rsidP="006F105A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5542FD">
        <w:rPr>
          <w:b w:val="0"/>
          <w:sz w:val="24"/>
          <w:szCs w:val="24"/>
        </w:rPr>
        <w:t xml:space="preserve">При определении политики вознаграждения работников, которые осуществляют предложение и реализацию финансовых инструментов, продуктов и услуг, помимо количественных показателей, связанных с объемом реализации финансовых инструментов, продуктов и услуг, во внимание принимаются способы достижения данных показателей. </w:t>
      </w:r>
    </w:p>
    <w:p w:rsidR="00691915" w:rsidRPr="005542FD" w:rsidRDefault="00691915" w:rsidP="005542FD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42FD">
        <w:rPr>
          <w:rFonts w:ascii="Times New Roman" w:hAnsi="Times New Roman" w:cs="Times New Roman"/>
          <w:b/>
          <w:color w:val="auto"/>
          <w:sz w:val="24"/>
          <w:szCs w:val="24"/>
        </w:rPr>
        <w:t>Рассмотрение обращений получателей финансовых услуг</w:t>
      </w:r>
      <w:bookmarkEnd w:id="9"/>
    </w:p>
    <w:p w:rsidR="00691915" w:rsidRPr="005542FD" w:rsidRDefault="00691915" w:rsidP="005542FD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bookmarkStart w:id="10" w:name="_Toc495309481"/>
      <w:r w:rsidRPr="005542FD">
        <w:rPr>
          <w:b w:val="0"/>
          <w:sz w:val="24"/>
          <w:szCs w:val="24"/>
        </w:rPr>
        <w:t xml:space="preserve">Порядок рассмотрения обращений </w:t>
      </w:r>
      <w:r w:rsidR="00F51BF7" w:rsidRPr="005542FD">
        <w:rPr>
          <w:b w:val="0"/>
          <w:sz w:val="24"/>
          <w:szCs w:val="24"/>
        </w:rPr>
        <w:t>по</w:t>
      </w:r>
      <w:r w:rsidR="00F51BF7">
        <w:rPr>
          <w:b w:val="0"/>
          <w:sz w:val="24"/>
          <w:szCs w:val="24"/>
        </w:rPr>
        <w:t>лучателей</w:t>
      </w:r>
      <w:r w:rsidR="00F51BF7" w:rsidRPr="005542FD">
        <w:rPr>
          <w:b w:val="0"/>
          <w:sz w:val="24"/>
          <w:szCs w:val="24"/>
        </w:rPr>
        <w:t xml:space="preserve"> </w:t>
      </w:r>
      <w:r w:rsidRPr="005542FD">
        <w:rPr>
          <w:b w:val="0"/>
          <w:sz w:val="24"/>
          <w:szCs w:val="24"/>
        </w:rPr>
        <w:t>финансовых услуг</w:t>
      </w:r>
      <w:bookmarkEnd w:id="10"/>
      <w:r w:rsidRPr="005542FD">
        <w:rPr>
          <w:b w:val="0"/>
          <w:sz w:val="24"/>
          <w:szCs w:val="24"/>
        </w:rPr>
        <w:t>.</w:t>
      </w:r>
    </w:p>
    <w:p w:rsidR="005542FD" w:rsidRDefault="005542FD" w:rsidP="006B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98516960"/>
      <w:r w:rsidRPr="006B1984"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</w:t>
      </w:r>
      <w:r w:rsidR="006B1984">
        <w:rPr>
          <w:rFonts w:ascii="Times New Roman" w:hAnsi="Times New Roman" w:cs="Times New Roman"/>
          <w:sz w:val="24"/>
          <w:szCs w:val="24"/>
        </w:rPr>
        <w:t>3 Стандарта,</w:t>
      </w:r>
      <w:r w:rsidRPr="006B1984">
        <w:rPr>
          <w:rFonts w:ascii="Times New Roman" w:hAnsi="Times New Roman" w:cs="Times New Roman"/>
          <w:sz w:val="24"/>
          <w:szCs w:val="24"/>
        </w:rPr>
        <w:t xml:space="preserve"> предоставляется потенциальному </w:t>
      </w:r>
      <w:r w:rsidR="00F51BF7" w:rsidRPr="006B1984">
        <w:rPr>
          <w:rFonts w:ascii="Times New Roman" w:hAnsi="Times New Roman" w:cs="Times New Roman"/>
          <w:sz w:val="24"/>
          <w:szCs w:val="24"/>
        </w:rPr>
        <w:t>по</w:t>
      </w:r>
      <w:r w:rsidR="00F51BF7">
        <w:rPr>
          <w:rFonts w:ascii="Times New Roman" w:hAnsi="Times New Roman" w:cs="Times New Roman"/>
          <w:sz w:val="24"/>
          <w:szCs w:val="24"/>
        </w:rPr>
        <w:t>лучателю</w:t>
      </w:r>
      <w:r w:rsidR="00F51BF7" w:rsidRPr="006B1984">
        <w:rPr>
          <w:rFonts w:ascii="Times New Roman" w:hAnsi="Times New Roman" w:cs="Times New Roman"/>
          <w:sz w:val="24"/>
          <w:szCs w:val="24"/>
        </w:rPr>
        <w:t xml:space="preserve"> </w:t>
      </w:r>
      <w:r w:rsidRPr="006B1984">
        <w:rPr>
          <w:rFonts w:ascii="Times New Roman" w:hAnsi="Times New Roman" w:cs="Times New Roman"/>
          <w:sz w:val="24"/>
          <w:szCs w:val="24"/>
        </w:rPr>
        <w:t>финанс</w:t>
      </w:r>
      <w:r w:rsidRPr="005542FD">
        <w:rPr>
          <w:rFonts w:ascii="Times New Roman" w:hAnsi="Times New Roman" w:cs="Times New Roman"/>
          <w:sz w:val="24"/>
          <w:szCs w:val="24"/>
        </w:rPr>
        <w:t xml:space="preserve">овых услуг для ознакомления </w:t>
      </w:r>
      <w:r w:rsidR="009512E6">
        <w:rPr>
          <w:rFonts w:ascii="Times New Roman" w:hAnsi="Times New Roman" w:cs="Times New Roman"/>
          <w:sz w:val="24"/>
          <w:szCs w:val="24"/>
        </w:rPr>
        <w:t xml:space="preserve">до </w:t>
      </w:r>
      <w:r w:rsidRPr="005542FD">
        <w:rPr>
          <w:rFonts w:ascii="Times New Roman" w:hAnsi="Times New Roman" w:cs="Times New Roman"/>
          <w:sz w:val="24"/>
          <w:szCs w:val="24"/>
        </w:rPr>
        <w:t>заключени</w:t>
      </w:r>
      <w:r w:rsidR="003F3B22">
        <w:rPr>
          <w:rFonts w:ascii="Times New Roman" w:hAnsi="Times New Roman" w:cs="Times New Roman"/>
          <w:sz w:val="24"/>
          <w:szCs w:val="24"/>
        </w:rPr>
        <w:t>я</w:t>
      </w:r>
      <w:r w:rsidRPr="005542FD">
        <w:rPr>
          <w:rFonts w:ascii="Times New Roman" w:hAnsi="Times New Roman" w:cs="Times New Roman"/>
          <w:sz w:val="24"/>
          <w:szCs w:val="24"/>
        </w:rPr>
        <w:t xml:space="preserve"> с ним договора оказания финансовых услуг (при обращении с намерением заключить договор оказания финансовых услуг)</w:t>
      </w:r>
      <w:r w:rsidR="009512E6">
        <w:rPr>
          <w:rFonts w:ascii="Times New Roman" w:hAnsi="Times New Roman" w:cs="Times New Roman"/>
          <w:sz w:val="24"/>
          <w:szCs w:val="24"/>
        </w:rPr>
        <w:t xml:space="preserve">, а также при обращении получателя финансовых услуг в Банк </w:t>
      </w:r>
      <w:r w:rsidR="00BA16D4">
        <w:rPr>
          <w:rFonts w:ascii="Times New Roman" w:hAnsi="Times New Roman" w:cs="Times New Roman"/>
          <w:sz w:val="24"/>
          <w:szCs w:val="24"/>
        </w:rPr>
        <w:t>в рамках обслуживания.</w:t>
      </w:r>
      <w:r w:rsidR="00951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84" w:rsidRPr="00656581" w:rsidRDefault="006B1984" w:rsidP="006B1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984">
        <w:rPr>
          <w:rFonts w:ascii="Times New Roman" w:hAnsi="Times New Roman" w:cs="Times New Roman"/>
          <w:sz w:val="24"/>
          <w:szCs w:val="24"/>
        </w:rPr>
        <w:t xml:space="preserve">Банк рассматривает все обращения </w:t>
      </w:r>
      <w:r w:rsidR="00F51BF7" w:rsidRPr="006B1984">
        <w:rPr>
          <w:rFonts w:ascii="Times New Roman" w:hAnsi="Times New Roman" w:cs="Times New Roman"/>
          <w:sz w:val="24"/>
          <w:szCs w:val="24"/>
        </w:rPr>
        <w:t>по</w:t>
      </w:r>
      <w:r w:rsidR="00F51BF7">
        <w:rPr>
          <w:rFonts w:ascii="Times New Roman" w:hAnsi="Times New Roman" w:cs="Times New Roman"/>
          <w:sz w:val="24"/>
          <w:szCs w:val="24"/>
        </w:rPr>
        <w:t>лучателей</w:t>
      </w:r>
      <w:r w:rsidR="00F51BF7" w:rsidRPr="006B1984">
        <w:rPr>
          <w:rFonts w:ascii="Times New Roman" w:hAnsi="Times New Roman" w:cs="Times New Roman"/>
          <w:sz w:val="24"/>
          <w:szCs w:val="24"/>
        </w:rPr>
        <w:t xml:space="preserve"> </w:t>
      </w:r>
      <w:r w:rsidRPr="006B1984">
        <w:rPr>
          <w:rFonts w:ascii="Times New Roman" w:hAnsi="Times New Roman" w:cs="Times New Roman"/>
          <w:sz w:val="24"/>
          <w:szCs w:val="24"/>
        </w:rPr>
        <w:t>финансовых услуг</w:t>
      </w:r>
      <w:r w:rsidR="002D70D5">
        <w:rPr>
          <w:rFonts w:ascii="Times New Roman" w:hAnsi="Times New Roman" w:cs="Times New Roman"/>
          <w:sz w:val="24"/>
          <w:szCs w:val="24"/>
        </w:rPr>
        <w:t xml:space="preserve"> (за исключением анонимных)</w:t>
      </w:r>
      <w:r w:rsidRPr="006B1984">
        <w:rPr>
          <w:rFonts w:ascii="Times New Roman" w:hAnsi="Times New Roman" w:cs="Times New Roman"/>
          <w:sz w:val="24"/>
          <w:szCs w:val="24"/>
        </w:rPr>
        <w:t xml:space="preserve">, направленные в адрес Банка любым официальным способом, в течение срока, не </w:t>
      </w:r>
      <w:r w:rsidRPr="00656581">
        <w:rPr>
          <w:rFonts w:ascii="Times New Roman" w:hAnsi="Times New Roman" w:cs="Times New Roman"/>
          <w:sz w:val="24"/>
          <w:szCs w:val="24"/>
        </w:rPr>
        <w:t xml:space="preserve">превышающего 20 рабочих дней со дня регистрации обращения. </w:t>
      </w:r>
    </w:p>
    <w:p w:rsidR="00691915" w:rsidRPr="00656581" w:rsidRDefault="00691915" w:rsidP="005542FD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656581">
        <w:rPr>
          <w:b w:val="0"/>
          <w:sz w:val="24"/>
          <w:szCs w:val="24"/>
        </w:rPr>
        <w:t xml:space="preserve">Реализация права получателя финансовых услуг на досудебный порядок разрешения споров </w:t>
      </w:r>
      <w:bookmarkEnd w:id="11"/>
    </w:p>
    <w:p w:rsidR="001A3905" w:rsidRPr="001A3905" w:rsidRDefault="001A3905" w:rsidP="001A390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A3905">
        <w:rPr>
          <w:rFonts w:ascii="Times New Roman" w:hAnsi="Times New Roman" w:cs="Times New Roman"/>
          <w:sz w:val="24"/>
          <w:szCs w:val="24"/>
        </w:rPr>
        <w:t xml:space="preserve">Спор между получателем финансовых услуг и Банком может быть урегулирован с использованием досудебных процедур в рамках </w:t>
      </w:r>
      <w:r w:rsidR="0065658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656581" w:rsidRPr="00656581">
        <w:rPr>
          <w:rFonts w:ascii="Times New Roman" w:hAnsi="Times New Roman" w:cs="Times New Roman"/>
          <w:sz w:val="24"/>
          <w:szCs w:val="24"/>
        </w:rPr>
        <w:t>Федеральн</w:t>
      </w:r>
      <w:r w:rsidR="00656581">
        <w:rPr>
          <w:rFonts w:ascii="Times New Roman" w:hAnsi="Times New Roman" w:cs="Times New Roman"/>
          <w:sz w:val="24"/>
          <w:szCs w:val="24"/>
        </w:rPr>
        <w:t>ого</w:t>
      </w:r>
      <w:r w:rsidR="00656581" w:rsidRPr="0065658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56581">
        <w:rPr>
          <w:rFonts w:ascii="Times New Roman" w:hAnsi="Times New Roman" w:cs="Times New Roman"/>
          <w:sz w:val="24"/>
          <w:szCs w:val="24"/>
        </w:rPr>
        <w:t>а</w:t>
      </w:r>
      <w:r w:rsidR="00656581" w:rsidRPr="00656581">
        <w:rPr>
          <w:rFonts w:ascii="Times New Roman" w:hAnsi="Times New Roman" w:cs="Times New Roman"/>
          <w:sz w:val="24"/>
          <w:szCs w:val="24"/>
        </w:rPr>
        <w:t xml:space="preserve"> от 04.06.2018 </w:t>
      </w:r>
      <w:r w:rsidR="00656581">
        <w:rPr>
          <w:rFonts w:ascii="Times New Roman" w:hAnsi="Times New Roman" w:cs="Times New Roman"/>
          <w:sz w:val="24"/>
          <w:szCs w:val="24"/>
        </w:rPr>
        <w:t>№</w:t>
      </w:r>
      <w:r w:rsidR="00656581" w:rsidRPr="00656581">
        <w:rPr>
          <w:rFonts w:ascii="Times New Roman" w:hAnsi="Times New Roman" w:cs="Times New Roman"/>
          <w:sz w:val="24"/>
          <w:szCs w:val="24"/>
        </w:rPr>
        <w:t>123-ФЗ</w:t>
      </w:r>
      <w:r w:rsidR="00656581">
        <w:rPr>
          <w:rFonts w:ascii="Times New Roman" w:hAnsi="Times New Roman" w:cs="Times New Roman"/>
          <w:sz w:val="24"/>
          <w:szCs w:val="24"/>
        </w:rPr>
        <w:t xml:space="preserve"> «</w:t>
      </w:r>
      <w:r w:rsidR="00656581" w:rsidRPr="00656581">
        <w:rPr>
          <w:rFonts w:ascii="Times New Roman" w:hAnsi="Times New Roman" w:cs="Times New Roman"/>
          <w:sz w:val="24"/>
          <w:szCs w:val="24"/>
        </w:rPr>
        <w:t>Об уполномоченном по права</w:t>
      </w:r>
      <w:r w:rsidR="00656581">
        <w:rPr>
          <w:rFonts w:ascii="Times New Roman" w:hAnsi="Times New Roman" w:cs="Times New Roman"/>
          <w:sz w:val="24"/>
          <w:szCs w:val="24"/>
        </w:rPr>
        <w:t>м потребителей финансовых услуг»</w:t>
      </w:r>
      <w:r w:rsidR="00BF7672">
        <w:rPr>
          <w:rFonts w:ascii="Times New Roman" w:hAnsi="Times New Roman" w:cs="Times New Roman"/>
          <w:sz w:val="24"/>
          <w:szCs w:val="24"/>
        </w:rPr>
        <w:t xml:space="preserve">, о чем получатели финансовых услуг информируются Банком, в том числе путем размещения соответствующей информации на официальном </w:t>
      </w:r>
      <w:r w:rsidR="00BF767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BF7672">
        <w:rPr>
          <w:rFonts w:ascii="Times New Roman" w:hAnsi="Times New Roman" w:cs="Times New Roman"/>
          <w:sz w:val="24"/>
          <w:szCs w:val="24"/>
        </w:rPr>
        <w:t>-сайте Банка.</w:t>
      </w:r>
    </w:p>
    <w:p w:rsidR="00691915" w:rsidRDefault="00691915" w:rsidP="005542FD">
      <w:pPr>
        <w:pStyle w:val="ConsPlusNormal"/>
        <w:numPr>
          <w:ilvl w:val="2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BF7672">
        <w:rPr>
          <w:b w:val="0"/>
          <w:sz w:val="24"/>
          <w:szCs w:val="24"/>
        </w:rPr>
        <w:t>Использование указанных процедур не лишает получателя финансовых</w:t>
      </w:r>
      <w:r w:rsidRPr="005542FD">
        <w:rPr>
          <w:b w:val="0"/>
          <w:sz w:val="24"/>
          <w:szCs w:val="24"/>
        </w:rPr>
        <w:t xml:space="preserve"> услуг права на судебную и иную защиту своих прав и законных интересов.</w:t>
      </w:r>
    </w:p>
    <w:p w:rsidR="001A3905" w:rsidRDefault="001A3905" w:rsidP="001A3905">
      <w:pPr>
        <w:pStyle w:val="ConsPlusNormal"/>
        <w:tabs>
          <w:tab w:val="left" w:pos="567"/>
        </w:tabs>
        <w:spacing w:before="120"/>
        <w:jc w:val="both"/>
        <w:rPr>
          <w:b w:val="0"/>
          <w:sz w:val="24"/>
          <w:szCs w:val="24"/>
        </w:rPr>
      </w:pPr>
    </w:p>
    <w:p w:rsidR="00691915" w:rsidRPr="009512E6" w:rsidRDefault="00691915" w:rsidP="009512E6">
      <w:pPr>
        <w:pStyle w:val="2"/>
        <w:numPr>
          <w:ilvl w:val="0"/>
          <w:numId w:val="23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12E6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</w:p>
    <w:p w:rsidR="00691915" w:rsidRPr="009512E6" w:rsidRDefault="00691915" w:rsidP="009512E6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9512E6">
        <w:rPr>
          <w:b w:val="0"/>
          <w:sz w:val="24"/>
          <w:szCs w:val="24"/>
        </w:rPr>
        <w:t>Настоящий Стандарт утвержда</w:t>
      </w:r>
      <w:r w:rsidR="002D70D5">
        <w:rPr>
          <w:b w:val="0"/>
          <w:sz w:val="24"/>
          <w:szCs w:val="24"/>
        </w:rPr>
        <w:t>е</w:t>
      </w:r>
      <w:r w:rsidRPr="009512E6">
        <w:rPr>
          <w:b w:val="0"/>
          <w:sz w:val="24"/>
          <w:szCs w:val="24"/>
        </w:rPr>
        <w:t>тся Советом директоров Банка.</w:t>
      </w:r>
    </w:p>
    <w:p w:rsidR="00691915" w:rsidRPr="009512E6" w:rsidRDefault="00691915" w:rsidP="009512E6">
      <w:pPr>
        <w:pStyle w:val="ConsPlusNormal"/>
        <w:numPr>
          <w:ilvl w:val="1"/>
          <w:numId w:val="23"/>
        </w:numPr>
        <w:tabs>
          <w:tab w:val="left" w:pos="567"/>
        </w:tabs>
        <w:spacing w:before="120"/>
        <w:ind w:left="0" w:firstLine="0"/>
        <w:jc w:val="both"/>
        <w:rPr>
          <w:b w:val="0"/>
          <w:sz w:val="24"/>
          <w:szCs w:val="24"/>
        </w:rPr>
      </w:pPr>
      <w:r w:rsidRPr="009512E6">
        <w:rPr>
          <w:b w:val="0"/>
          <w:sz w:val="24"/>
          <w:szCs w:val="24"/>
        </w:rPr>
        <w:lastRenderedPageBreak/>
        <w:t>Если в результате изменения законодательства Российской Федерации, нормативных актов Банка России отдельные статьи настоящего Стандарта вступят в противоречие с ними, эти статьи утрачивают силу, и до момента внесения соответствующих изменений в настоящий Стандарт применяются с учетом норм действующего законодательства Российской Федерации, нормативных актов Банка России.</w:t>
      </w:r>
    </w:p>
    <w:p w:rsidR="00691915" w:rsidRPr="005542FD" w:rsidRDefault="00691915" w:rsidP="006919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Pr="005542FD" w:rsidRDefault="00691915" w:rsidP="006919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AEB" w:rsidRPr="005542FD" w:rsidRDefault="00507AEB">
      <w:pPr>
        <w:rPr>
          <w:rFonts w:ascii="Times New Roman" w:hAnsi="Times New Roman" w:cs="Times New Roman"/>
          <w:sz w:val="24"/>
          <w:szCs w:val="24"/>
        </w:rPr>
      </w:pPr>
    </w:p>
    <w:sectPr w:rsidR="00507AEB" w:rsidRPr="005542FD" w:rsidSect="00AA704F">
      <w:footerReference w:type="default" r:id="rId8"/>
      <w:headerReference w:type="first" r:id="rId9"/>
      <w:pgSz w:w="11906" w:h="16838"/>
      <w:pgMar w:top="568" w:right="680" w:bottom="993" w:left="1418" w:header="284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22" w:rsidRDefault="00081622" w:rsidP="00AF5803">
      <w:pPr>
        <w:spacing w:after="0" w:line="240" w:lineRule="auto"/>
      </w:pPr>
      <w:r>
        <w:separator/>
      </w:r>
    </w:p>
  </w:endnote>
  <w:endnote w:type="continuationSeparator" w:id="0">
    <w:p w:rsidR="00081622" w:rsidRDefault="00081622" w:rsidP="00AF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955486"/>
      <w:docPartObj>
        <w:docPartGallery w:val="Page Numbers (Bottom of Page)"/>
        <w:docPartUnique/>
      </w:docPartObj>
    </w:sdtPr>
    <w:sdtContent>
      <w:p w:rsidR="006B1984" w:rsidRDefault="00E57641">
        <w:pPr>
          <w:pStyle w:val="ad"/>
          <w:jc w:val="right"/>
        </w:pPr>
        <w:r>
          <w:rPr>
            <w:noProof/>
          </w:rPr>
          <w:fldChar w:fldCharType="begin"/>
        </w:r>
        <w:r w:rsidR="00E2483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60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1984" w:rsidRDefault="006B19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22" w:rsidRDefault="00081622" w:rsidP="00AF5803">
      <w:pPr>
        <w:spacing w:after="0" w:line="240" w:lineRule="auto"/>
      </w:pPr>
      <w:r>
        <w:separator/>
      </w:r>
    </w:p>
  </w:footnote>
  <w:footnote w:type="continuationSeparator" w:id="0">
    <w:p w:rsidR="00081622" w:rsidRDefault="00081622" w:rsidP="00AF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84" w:rsidRDefault="006B1984" w:rsidP="006B1984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24A"/>
    <w:multiLevelType w:val="hybridMultilevel"/>
    <w:tmpl w:val="E6283AB0"/>
    <w:lvl w:ilvl="0" w:tplc="647678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3E2973"/>
    <w:multiLevelType w:val="hybridMultilevel"/>
    <w:tmpl w:val="A5648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6046F"/>
    <w:multiLevelType w:val="multilevel"/>
    <w:tmpl w:val="A9C0B8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A9012B"/>
    <w:multiLevelType w:val="multilevel"/>
    <w:tmpl w:val="99AE2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6D6CA7"/>
    <w:multiLevelType w:val="hybridMultilevel"/>
    <w:tmpl w:val="7DE43A3E"/>
    <w:lvl w:ilvl="0" w:tplc="3BA493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9808FC74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79BEEA4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85049308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D94C5F2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71EA918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7584E0D4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F9E9F7C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ED3A5640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5DD5369"/>
    <w:multiLevelType w:val="hybridMultilevel"/>
    <w:tmpl w:val="7A0C7D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FE67B1"/>
    <w:multiLevelType w:val="hybridMultilevel"/>
    <w:tmpl w:val="9EC42F98"/>
    <w:styleLink w:val="50"/>
    <w:lvl w:ilvl="0" w:tplc="520E7320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D9C1AC2">
      <w:start w:val="1"/>
      <w:numFmt w:val="lowerLetter"/>
      <w:suff w:val="nothing"/>
      <w:lvlText w:val="%2."/>
      <w:lvlJc w:val="left"/>
      <w:pPr>
        <w:ind w:left="719" w:firstLine="4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D30B546">
      <w:start w:val="1"/>
      <w:numFmt w:val="lowerRoman"/>
      <w:lvlText w:val="%3."/>
      <w:lvlJc w:val="left"/>
      <w:pPr>
        <w:ind w:left="1439" w:hanging="2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3C2132">
      <w:start w:val="1"/>
      <w:numFmt w:val="decimal"/>
      <w:lvlText w:val="%4."/>
      <w:lvlJc w:val="left"/>
      <w:pPr>
        <w:ind w:left="2159" w:hanging="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E46BD5E">
      <w:start w:val="1"/>
      <w:numFmt w:val="lowerLetter"/>
      <w:lvlText w:val="%5."/>
      <w:lvlJc w:val="left"/>
      <w:pPr>
        <w:ind w:left="2879" w:hanging="2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E14D7BA">
      <w:start w:val="1"/>
      <w:numFmt w:val="lowerRoman"/>
      <w:lvlText w:val="%6."/>
      <w:lvlJc w:val="left"/>
      <w:pPr>
        <w:ind w:left="3599" w:hanging="1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92E704">
      <w:start w:val="1"/>
      <w:numFmt w:val="decimal"/>
      <w:lvlText w:val="%7."/>
      <w:lvlJc w:val="left"/>
      <w:pPr>
        <w:ind w:left="4319" w:hanging="21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38A418">
      <w:start w:val="1"/>
      <w:numFmt w:val="lowerLetter"/>
      <w:lvlText w:val="%8."/>
      <w:lvlJc w:val="left"/>
      <w:pPr>
        <w:ind w:left="5039" w:hanging="19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88C682">
      <w:start w:val="1"/>
      <w:numFmt w:val="lowerRoman"/>
      <w:lvlText w:val="%9."/>
      <w:lvlJc w:val="left"/>
      <w:pPr>
        <w:tabs>
          <w:tab w:val="num" w:pos="6326"/>
        </w:tabs>
        <w:ind w:left="5759" w:hanging="12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30D525F9"/>
    <w:multiLevelType w:val="hybridMultilevel"/>
    <w:tmpl w:val="069E4D32"/>
    <w:styleLink w:val="47"/>
    <w:lvl w:ilvl="0" w:tplc="DA069CF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F14EA1C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9465D6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AEAD56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3A2D396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C289DC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6DE0DE2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EBC2C2E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71AEC7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3AC722D7"/>
    <w:multiLevelType w:val="hybridMultilevel"/>
    <w:tmpl w:val="7A0C7D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E75BD4"/>
    <w:multiLevelType w:val="hybridMultilevel"/>
    <w:tmpl w:val="ECB20C08"/>
    <w:lvl w:ilvl="0" w:tplc="A52033AE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F615F5"/>
    <w:multiLevelType w:val="hybridMultilevel"/>
    <w:tmpl w:val="3348C26E"/>
    <w:styleLink w:val="58"/>
    <w:lvl w:ilvl="0" w:tplc="A10CCF72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8E4B38">
      <w:start w:val="1"/>
      <w:numFmt w:val="decimal"/>
      <w:lvlText w:val="%2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4D2F386">
      <w:start w:val="1"/>
      <w:numFmt w:val="decimal"/>
      <w:lvlText w:val="%3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01088D4">
      <w:start w:val="1"/>
      <w:numFmt w:val="decimal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C8C60C">
      <w:start w:val="1"/>
      <w:numFmt w:val="decimal"/>
      <w:lvlText w:val="%5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02E391E">
      <w:start w:val="1"/>
      <w:numFmt w:val="decimal"/>
      <w:lvlText w:val="%6)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B74F6BC">
      <w:start w:val="1"/>
      <w:numFmt w:val="decimal"/>
      <w:lvlText w:val="%7)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3C04052">
      <w:start w:val="1"/>
      <w:numFmt w:val="decimal"/>
      <w:lvlText w:val="%8)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588DDE">
      <w:start w:val="1"/>
      <w:numFmt w:val="decimal"/>
      <w:lvlText w:val="%9)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4408274C"/>
    <w:multiLevelType w:val="multilevel"/>
    <w:tmpl w:val="76980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42879FE"/>
    <w:multiLevelType w:val="multilevel"/>
    <w:tmpl w:val="A6766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0C7C6B"/>
    <w:multiLevelType w:val="hybridMultilevel"/>
    <w:tmpl w:val="DAD24E42"/>
    <w:styleLink w:val="53"/>
    <w:lvl w:ilvl="0" w:tplc="A98E611C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4A01FA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B081840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64920E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84C1E2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B7EA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8838F8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064C00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116BEA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>
    <w:nsid w:val="4BBC2F72"/>
    <w:multiLevelType w:val="hybridMultilevel"/>
    <w:tmpl w:val="AF6C3BDC"/>
    <w:styleLink w:val="52"/>
    <w:lvl w:ilvl="0" w:tplc="D754661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2FC8ED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D6EC59A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987884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D00E3FC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067C60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E2CBF0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41E1698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1547FE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F8158B6"/>
    <w:multiLevelType w:val="hybridMultilevel"/>
    <w:tmpl w:val="FB98A3CA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>
    <w:nsid w:val="50BA2826"/>
    <w:multiLevelType w:val="hybridMultilevel"/>
    <w:tmpl w:val="01EE7D36"/>
    <w:styleLink w:val="49"/>
    <w:lvl w:ilvl="0" w:tplc="F9386A32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72117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560DA6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7725B42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44CF174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30F8C6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8B0141E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43ACD5A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BB2A5D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5C5451DD"/>
    <w:multiLevelType w:val="hybridMultilevel"/>
    <w:tmpl w:val="ACEC455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EF08B2"/>
    <w:multiLevelType w:val="hybridMultilevel"/>
    <w:tmpl w:val="7A0C7D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503BB9"/>
    <w:multiLevelType w:val="multilevel"/>
    <w:tmpl w:val="F62EF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505F28"/>
    <w:multiLevelType w:val="multilevel"/>
    <w:tmpl w:val="A67EA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AB7544"/>
    <w:multiLevelType w:val="hybridMultilevel"/>
    <w:tmpl w:val="EF92378C"/>
    <w:styleLink w:val="57"/>
    <w:lvl w:ilvl="0" w:tplc="7D14E19E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DB4AA8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D2FFB2">
      <w:start w:val="1"/>
      <w:numFmt w:val="lowerRoman"/>
      <w:lvlText w:val="%3."/>
      <w:lvlJc w:val="left"/>
      <w:pPr>
        <w:ind w:left="1440" w:hanging="2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EF61A3E">
      <w:start w:val="1"/>
      <w:numFmt w:val="decimal"/>
      <w:lvlText w:val="%4."/>
      <w:lvlJc w:val="left"/>
      <w:pPr>
        <w:ind w:left="2160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9EAD0C">
      <w:start w:val="1"/>
      <w:numFmt w:val="lowerLetter"/>
      <w:lvlText w:val="%5."/>
      <w:lvlJc w:val="left"/>
      <w:pPr>
        <w:ind w:left="2880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52F04A">
      <w:start w:val="1"/>
      <w:numFmt w:val="lowerRoman"/>
      <w:lvlText w:val="%6."/>
      <w:lvlJc w:val="left"/>
      <w:pPr>
        <w:ind w:left="3600" w:hanging="1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210688A">
      <w:start w:val="1"/>
      <w:numFmt w:val="decimal"/>
      <w:lvlText w:val="%7."/>
      <w:lvlJc w:val="left"/>
      <w:pPr>
        <w:ind w:left="4320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2879AE">
      <w:start w:val="1"/>
      <w:numFmt w:val="lowerLetter"/>
      <w:lvlText w:val="%8."/>
      <w:lvlJc w:val="left"/>
      <w:pPr>
        <w:ind w:left="5040" w:hanging="19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766220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B8F1E23"/>
    <w:multiLevelType w:val="hybridMultilevel"/>
    <w:tmpl w:val="A6F8F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C34B2"/>
    <w:multiLevelType w:val="hybridMultilevel"/>
    <w:tmpl w:val="4CAE0B1A"/>
    <w:lvl w:ilvl="0" w:tplc="99A275A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F044361"/>
    <w:multiLevelType w:val="multilevel"/>
    <w:tmpl w:val="4D10F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6B25A7"/>
    <w:multiLevelType w:val="hybridMultilevel"/>
    <w:tmpl w:val="660EA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33E1B"/>
    <w:multiLevelType w:val="multilevel"/>
    <w:tmpl w:val="266C811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8896FD3"/>
    <w:multiLevelType w:val="hybridMultilevel"/>
    <w:tmpl w:val="9D741CEC"/>
    <w:lvl w:ilvl="0" w:tplc="C1DA7D6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1A06B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BDEBDE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EBED0B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6DEF87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6F77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BDA9E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F22E1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3D8176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A6584E"/>
    <w:multiLevelType w:val="hybridMultilevel"/>
    <w:tmpl w:val="F1B2F3E4"/>
    <w:lvl w:ilvl="0" w:tplc="CFEAC3A4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A8350E"/>
    <w:multiLevelType w:val="hybridMultilevel"/>
    <w:tmpl w:val="19D0B068"/>
    <w:styleLink w:val="46"/>
    <w:lvl w:ilvl="0" w:tplc="FF92111E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28CEC0C">
      <w:start w:val="1"/>
      <w:numFmt w:val="lowerLetter"/>
      <w:suff w:val="nothing"/>
      <w:lvlText w:val="%2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529AF0">
      <w:start w:val="1"/>
      <w:numFmt w:val="lowerRoman"/>
      <w:lvlText w:val="%3."/>
      <w:lvlJc w:val="left"/>
      <w:pPr>
        <w:ind w:left="1440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2AE379C">
      <w:start w:val="1"/>
      <w:numFmt w:val="decimal"/>
      <w:lvlText w:val="%4."/>
      <w:lvlJc w:val="left"/>
      <w:pPr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7E29D64">
      <w:start w:val="1"/>
      <w:numFmt w:val="lowerLetter"/>
      <w:lvlText w:val="%5."/>
      <w:lvlJc w:val="left"/>
      <w:pPr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27E3E44">
      <w:start w:val="1"/>
      <w:numFmt w:val="lowerRoman"/>
      <w:lvlText w:val="%6."/>
      <w:lvlJc w:val="left"/>
      <w:pPr>
        <w:ind w:left="360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18AE2A6">
      <w:start w:val="1"/>
      <w:numFmt w:val="decimal"/>
      <w:lvlText w:val="%7."/>
      <w:lvlJc w:val="left"/>
      <w:pPr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C08A562">
      <w:start w:val="1"/>
      <w:numFmt w:val="lowerLetter"/>
      <w:lvlText w:val="%8."/>
      <w:lvlJc w:val="left"/>
      <w:pPr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181D7A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7E042427"/>
    <w:multiLevelType w:val="hybridMultilevel"/>
    <w:tmpl w:val="F022F0A4"/>
    <w:lvl w:ilvl="0" w:tplc="50E007C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110125"/>
    <w:multiLevelType w:val="hybridMultilevel"/>
    <w:tmpl w:val="2520A5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1F2B59"/>
    <w:multiLevelType w:val="multilevel"/>
    <w:tmpl w:val="17D252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6"/>
  </w:num>
  <w:num w:numId="5">
    <w:abstractNumId w:val="16"/>
  </w:num>
  <w:num w:numId="6">
    <w:abstractNumId w:val="21"/>
  </w:num>
  <w:num w:numId="7">
    <w:abstractNumId w:val="10"/>
  </w:num>
  <w:num w:numId="8">
    <w:abstractNumId w:val="14"/>
  </w:num>
  <w:num w:numId="9">
    <w:abstractNumId w:val="13"/>
  </w:num>
  <w:num w:numId="10">
    <w:abstractNumId w:val="24"/>
  </w:num>
  <w:num w:numId="11">
    <w:abstractNumId w:val="20"/>
  </w:num>
  <w:num w:numId="12">
    <w:abstractNumId w:val="19"/>
  </w:num>
  <w:num w:numId="13">
    <w:abstractNumId w:val="3"/>
  </w:num>
  <w:num w:numId="14">
    <w:abstractNumId w:val="4"/>
  </w:num>
  <w:num w:numId="15">
    <w:abstractNumId w:val="27"/>
  </w:num>
  <w:num w:numId="16">
    <w:abstractNumId w:val="11"/>
  </w:num>
  <w:num w:numId="17">
    <w:abstractNumId w:val="2"/>
  </w:num>
  <w:num w:numId="18">
    <w:abstractNumId w:val="15"/>
  </w:num>
  <w:num w:numId="19">
    <w:abstractNumId w:val="32"/>
  </w:num>
  <w:num w:numId="20">
    <w:abstractNumId w:val="12"/>
  </w:num>
  <w:num w:numId="21">
    <w:abstractNumId w:val="23"/>
  </w:num>
  <w:num w:numId="22">
    <w:abstractNumId w:val="1"/>
  </w:num>
  <w:num w:numId="23">
    <w:abstractNumId w:val="26"/>
  </w:num>
  <w:num w:numId="24">
    <w:abstractNumId w:val="8"/>
  </w:num>
  <w:num w:numId="25">
    <w:abstractNumId w:val="28"/>
  </w:num>
  <w:num w:numId="26">
    <w:abstractNumId w:val="5"/>
  </w:num>
  <w:num w:numId="27">
    <w:abstractNumId w:val="17"/>
  </w:num>
  <w:num w:numId="28">
    <w:abstractNumId w:val="18"/>
  </w:num>
  <w:num w:numId="29">
    <w:abstractNumId w:val="31"/>
  </w:num>
  <w:num w:numId="30">
    <w:abstractNumId w:val="9"/>
  </w:num>
  <w:num w:numId="31">
    <w:abstractNumId w:val="25"/>
  </w:num>
  <w:num w:numId="32">
    <w:abstractNumId w:val="22"/>
  </w:num>
  <w:num w:numId="3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горуйко Марина Евгеньевна">
    <w15:presenceInfo w15:providerId="AD" w15:userId="S-1-5-21-468592602-2144342479-10498456-138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915"/>
    <w:rsid w:val="00047070"/>
    <w:rsid w:val="000706B2"/>
    <w:rsid w:val="00081622"/>
    <w:rsid w:val="00117FA9"/>
    <w:rsid w:val="001A3905"/>
    <w:rsid w:val="001E221A"/>
    <w:rsid w:val="002775A2"/>
    <w:rsid w:val="002C5B42"/>
    <w:rsid w:val="002D1990"/>
    <w:rsid w:val="002D70D5"/>
    <w:rsid w:val="002E5B47"/>
    <w:rsid w:val="00361BAD"/>
    <w:rsid w:val="003921FB"/>
    <w:rsid w:val="003A60B4"/>
    <w:rsid w:val="003F3B22"/>
    <w:rsid w:val="00407FAD"/>
    <w:rsid w:val="00414861"/>
    <w:rsid w:val="0045067D"/>
    <w:rsid w:val="00493F8B"/>
    <w:rsid w:val="004E5E1F"/>
    <w:rsid w:val="00507AEB"/>
    <w:rsid w:val="00544EEE"/>
    <w:rsid w:val="005542FD"/>
    <w:rsid w:val="005B0185"/>
    <w:rsid w:val="005C099B"/>
    <w:rsid w:val="00656581"/>
    <w:rsid w:val="00691915"/>
    <w:rsid w:val="006B1984"/>
    <w:rsid w:val="006C291D"/>
    <w:rsid w:val="006D5457"/>
    <w:rsid w:val="006F105A"/>
    <w:rsid w:val="00725CA7"/>
    <w:rsid w:val="00733148"/>
    <w:rsid w:val="00823201"/>
    <w:rsid w:val="00835225"/>
    <w:rsid w:val="008B440E"/>
    <w:rsid w:val="009512E6"/>
    <w:rsid w:val="009920CD"/>
    <w:rsid w:val="009F604F"/>
    <w:rsid w:val="00A20002"/>
    <w:rsid w:val="00A4644F"/>
    <w:rsid w:val="00AA704F"/>
    <w:rsid w:val="00AB4028"/>
    <w:rsid w:val="00AF5803"/>
    <w:rsid w:val="00B50017"/>
    <w:rsid w:val="00BA16D4"/>
    <w:rsid w:val="00BF7672"/>
    <w:rsid w:val="00C0547B"/>
    <w:rsid w:val="00C0626A"/>
    <w:rsid w:val="00C40E0B"/>
    <w:rsid w:val="00C43797"/>
    <w:rsid w:val="00C86DC1"/>
    <w:rsid w:val="00CE404F"/>
    <w:rsid w:val="00D03328"/>
    <w:rsid w:val="00D864DB"/>
    <w:rsid w:val="00D94396"/>
    <w:rsid w:val="00E2483C"/>
    <w:rsid w:val="00E56054"/>
    <w:rsid w:val="00E57641"/>
    <w:rsid w:val="00F51BF7"/>
    <w:rsid w:val="00FA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15"/>
    <w:pPr>
      <w:spacing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91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1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91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91915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9191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9191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9191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919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91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915"/>
  </w:style>
  <w:style w:type="paragraph" w:styleId="ad">
    <w:name w:val="footer"/>
    <w:basedOn w:val="a"/>
    <w:link w:val="ae"/>
    <w:uiPriority w:val="99"/>
    <w:unhideWhenUsed/>
    <w:rsid w:val="006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915"/>
  </w:style>
  <w:style w:type="paragraph" w:customStyle="1" w:styleId="ConsPlusNormal">
    <w:name w:val="ConsPlusNormal"/>
    <w:rsid w:val="0069191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91915"/>
    <w:pPr>
      <w:spacing w:after="160"/>
    </w:pPr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691915"/>
    <w:rPr>
      <w:b/>
      <w:bCs/>
      <w:sz w:val="20"/>
      <w:szCs w:val="20"/>
    </w:rPr>
  </w:style>
  <w:style w:type="paragraph" w:customStyle="1" w:styleId="Default">
    <w:name w:val="Default"/>
    <w:rsid w:val="0069191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6919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19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1915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691915"/>
    <w:rPr>
      <w:color w:val="0000FF" w:themeColor="hyperlink"/>
      <w:u w:val="single"/>
    </w:rPr>
  </w:style>
  <w:style w:type="numbering" w:customStyle="1" w:styleId="47">
    <w:name w:val="Импортированный стиль 47"/>
    <w:rsid w:val="00691915"/>
    <w:pPr>
      <w:numPr>
        <w:numId w:val="3"/>
      </w:numPr>
    </w:pPr>
  </w:style>
  <w:style w:type="numbering" w:customStyle="1" w:styleId="46">
    <w:name w:val="Импортированный стиль 46"/>
    <w:rsid w:val="00691915"/>
    <w:pPr>
      <w:numPr>
        <w:numId w:val="2"/>
      </w:numPr>
    </w:pPr>
  </w:style>
  <w:style w:type="numbering" w:customStyle="1" w:styleId="50">
    <w:name w:val="Импортированный стиль 50"/>
    <w:rsid w:val="00691915"/>
    <w:pPr>
      <w:numPr>
        <w:numId w:val="4"/>
      </w:numPr>
    </w:pPr>
  </w:style>
  <w:style w:type="numbering" w:customStyle="1" w:styleId="49">
    <w:name w:val="Импортированный стиль 49"/>
    <w:rsid w:val="00691915"/>
    <w:pPr>
      <w:numPr>
        <w:numId w:val="5"/>
      </w:numPr>
    </w:pPr>
  </w:style>
  <w:style w:type="numbering" w:customStyle="1" w:styleId="58">
    <w:name w:val="Импортированный стиль 58"/>
    <w:rsid w:val="00691915"/>
    <w:pPr>
      <w:numPr>
        <w:numId w:val="7"/>
      </w:numPr>
    </w:pPr>
  </w:style>
  <w:style w:type="numbering" w:customStyle="1" w:styleId="57">
    <w:name w:val="Импортированный стиль 57"/>
    <w:rsid w:val="00691915"/>
    <w:pPr>
      <w:numPr>
        <w:numId w:val="6"/>
      </w:numPr>
    </w:pPr>
  </w:style>
  <w:style w:type="numbering" w:customStyle="1" w:styleId="53">
    <w:name w:val="Импортированный стиль 53"/>
    <w:rsid w:val="00691915"/>
    <w:pPr>
      <w:numPr>
        <w:numId w:val="9"/>
      </w:numPr>
    </w:pPr>
  </w:style>
  <w:style w:type="numbering" w:customStyle="1" w:styleId="52">
    <w:name w:val="Импортированный стиль 52"/>
    <w:rsid w:val="00691915"/>
    <w:pPr>
      <w:numPr>
        <w:numId w:val="8"/>
      </w:numPr>
    </w:pPr>
  </w:style>
  <w:style w:type="paragraph" w:styleId="af3">
    <w:name w:val="Body Text"/>
    <w:basedOn w:val="a"/>
    <w:link w:val="af4"/>
    <w:rsid w:val="00691915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f4">
    <w:name w:val="Основной текст Знак"/>
    <w:basedOn w:val="a0"/>
    <w:link w:val="af3"/>
    <w:rsid w:val="0069191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12">
    <w:name w:val="Текст примечания Знак1"/>
    <w:uiPriority w:val="99"/>
    <w:semiHidden/>
    <w:rsid w:val="0069191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f5">
    <w:name w:val="Revision"/>
    <w:hidden/>
    <w:uiPriority w:val="99"/>
    <w:semiHidden/>
    <w:rsid w:val="00691915"/>
    <w:pPr>
      <w:ind w:left="0" w:firstLine="0"/>
      <w:jc w:val="left"/>
    </w:pPr>
  </w:style>
  <w:style w:type="character" w:styleId="af6">
    <w:name w:val="FollowedHyperlink"/>
    <w:basedOn w:val="a0"/>
    <w:uiPriority w:val="99"/>
    <w:semiHidden/>
    <w:unhideWhenUsed/>
    <w:rsid w:val="006919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91915"/>
  </w:style>
  <w:style w:type="character" w:customStyle="1" w:styleId="af7">
    <w:name w:val="Основной текст_"/>
    <w:basedOn w:val="a0"/>
    <w:link w:val="13"/>
    <w:rsid w:val="006919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7"/>
    <w:rsid w:val="00691915"/>
    <w:pPr>
      <w:shd w:val="clear" w:color="auto" w:fill="FFFFFF"/>
      <w:spacing w:before="360" w:after="0" w:line="4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"/>
    <w:basedOn w:val="af7"/>
    <w:rsid w:val="006919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4">
    <w:name w:val="Заголовок №1_"/>
    <w:basedOn w:val="a0"/>
    <w:link w:val="15"/>
    <w:rsid w:val="006919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691915"/>
    <w:pPr>
      <w:shd w:val="clear" w:color="auto" w:fill="FFFFFF"/>
      <w:spacing w:after="0" w:line="45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Колонтитул_"/>
    <w:basedOn w:val="a0"/>
    <w:link w:val="afa"/>
    <w:rsid w:val="006919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Колонтитул + 9 pt;Интервал 0 pt"/>
    <w:basedOn w:val="af9"/>
    <w:rsid w:val="0069191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6919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1915"/>
    <w:rPr>
      <w:rFonts w:ascii="SimHei" w:eastAsia="SimHei" w:hAnsi="SimHei" w:cs="SimHei"/>
      <w:sz w:val="19"/>
      <w:szCs w:val="19"/>
      <w:shd w:val="clear" w:color="auto" w:fill="FFFFFF"/>
    </w:rPr>
  </w:style>
  <w:style w:type="paragraph" w:customStyle="1" w:styleId="afa">
    <w:name w:val="Колонтитул"/>
    <w:basedOn w:val="a"/>
    <w:link w:val="af9"/>
    <w:rsid w:val="0069191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691915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691915"/>
    <w:pPr>
      <w:shd w:val="clear" w:color="auto" w:fill="FFFFFF"/>
      <w:spacing w:after="0" w:line="446" w:lineRule="exact"/>
    </w:pPr>
    <w:rPr>
      <w:rFonts w:ascii="SimHei" w:eastAsia="SimHei" w:hAnsi="SimHei" w:cs="SimHei"/>
      <w:sz w:val="19"/>
      <w:szCs w:val="19"/>
    </w:rPr>
  </w:style>
  <w:style w:type="paragraph" w:styleId="24">
    <w:name w:val="Body Text 2"/>
    <w:basedOn w:val="a"/>
    <w:link w:val="25"/>
    <w:uiPriority w:val="99"/>
    <w:semiHidden/>
    <w:unhideWhenUsed/>
    <w:rsid w:val="0069191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91915"/>
  </w:style>
  <w:style w:type="paragraph" w:styleId="26">
    <w:name w:val="Body Text Indent 2"/>
    <w:basedOn w:val="a"/>
    <w:link w:val="27"/>
    <w:uiPriority w:val="99"/>
    <w:semiHidden/>
    <w:unhideWhenUsed/>
    <w:rsid w:val="0069191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91915"/>
  </w:style>
  <w:style w:type="paragraph" w:customStyle="1" w:styleId="5">
    <w:name w:val="óêàçàòåëü 5"/>
    <w:basedOn w:val="a"/>
    <w:next w:val="a"/>
    <w:rsid w:val="00691915"/>
    <w:pPr>
      <w:widowControl w:val="0"/>
      <w:autoSpaceDE w:val="0"/>
      <w:autoSpaceDN w:val="0"/>
      <w:spacing w:after="0" w:line="360" w:lineRule="atLeast"/>
      <w:ind w:left="1000" w:hanging="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691915"/>
  </w:style>
  <w:style w:type="paragraph" w:styleId="31">
    <w:name w:val="Body Text 3"/>
    <w:basedOn w:val="a"/>
    <w:link w:val="32"/>
    <w:uiPriority w:val="99"/>
    <w:semiHidden/>
    <w:unhideWhenUsed/>
    <w:rsid w:val="006919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191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mololkee</cp:lastModifiedBy>
  <cp:revision>2</cp:revision>
  <cp:lastPrinted>2021-02-19T12:15:00Z</cp:lastPrinted>
  <dcterms:created xsi:type="dcterms:W3CDTF">2021-03-05T09:19:00Z</dcterms:created>
  <dcterms:modified xsi:type="dcterms:W3CDTF">2021-03-05T09:19:00Z</dcterms:modified>
</cp:coreProperties>
</file>